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>Приложение 1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9820D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9820DB">
        <w:rPr>
          <w:rFonts w:ascii="Times New Roman" w:hAnsi="Times New Roman" w:cs="Times New Roman"/>
          <w:sz w:val="24"/>
          <w:szCs w:val="24"/>
        </w:rPr>
        <w:t xml:space="preserve"> приказу департамента строительства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9820DB">
        <w:rPr>
          <w:rFonts w:ascii="Times New Roman" w:hAnsi="Times New Roman" w:cs="Times New Roman"/>
          <w:sz w:val="24"/>
          <w:szCs w:val="24"/>
        </w:rPr>
        <w:t>архитектуры</w:t>
      </w:r>
      <w:proofErr w:type="gramEnd"/>
      <w:r w:rsidRPr="009820DB">
        <w:rPr>
          <w:rFonts w:ascii="Times New Roman" w:hAnsi="Times New Roman" w:cs="Times New Roman"/>
          <w:sz w:val="24"/>
          <w:szCs w:val="24"/>
        </w:rPr>
        <w:t xml:space="preserve"> и ЖКХ 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proofErr w:type="gramStart"/>
      <w:r w:rsidRPr="00084A11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084A11">
        <w:rPr>
          <w:rFonts w:ascii="Times New Roman" w:hAnsi="Times New Roman" w:cs="Times New Roman"/>
          <w:sz w:val="24"/>
          <w:szCs w:val="24"/>
        </w:rPr>
        <w:t xml:space="preserve"> 21.04.2021   №</w:t>
      </w:r>
      <w:r>
        <w:rPr>
          <w:rFonts w:ascii="Times New Roman" w:hAnsi="Times New Roman" w:cs="Times New Roman"/>
          <w:sz w:val="24"/>
          <w:szCs w:val="24"/>
        </w:rPr>
        <w:t>108</w:t>
      </w:r>
      <w:r w:rsidRPr="00084A11">
        <w:rPr>
          <w:rFonts w:ascii="Times New Roman" w:hAnsi="Times New Roman" w:cs="Times New Roman"/>
          <w:sz w:val="24"/>
          <w:szCs w:val="24"/>
        </w:rPr>
        <w:t>-н</w:t>
      </w:r>
    </w:p>
    <w:p w:rsidR="004E2467" w:rsidRDefault="004E2467" w:rsidP="004E24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DF4611" w:rsidP="004E24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E2467">
        <w:rPr>
          <w:rFonts w:ascii="Times New Roman" w:hAnsi="Times New Roman" w:cs="Times New Roman"/>
          <w:sz w:val="24"/>
          <w:szCs w:val="24"/>
        </w:rPr>
        <w:t>Документация по планировке территории для размещения объекта: «Электростанции на базе газопоршневых генераторных установок для электроснабжения объектов нефтедобычи на приобском месторождении ООО «</w:t>
      </w:r>
      <w:proofErr w:type="spellStart"/>
      <w:r w:rsidRPr="004E2467">
        <w:rPr>
          <w:rFonts w:ascii="Times New Roman" w:hAnsi="Times New Roman" w:cs="Times New Roman"/>
          <w:sz w:val="24"/>
          <w:szCs w:val="24"/>
        </w:rPr>
        <w:t>Газпромнефть-Хантос</w:t>
      </w:r>
      <w:proofErr w:type="spellEnd"/>
      <w:r w:rsidRPr="004E2467">
        <w:rPr>
          <w:rFonts w:ascii="Times New Roman" w:hAnsi="Times New Roman" w:cs="Times New Roman"/>
          <w:sz w:val="24"/>
          <w:szCs w:val="24"/>
        </w:rPr>
        <w:t xml:space="preserve">» Газопровод-отвод от точки врезки в газопровод «ЮП ГПЗ» до ГПЭС ПО </w:t>
      </w:r>
      <w:proofErr w:type="spellStart"/>
      <w:r w:rsidRPr="004E2467">
        <w:rPr>
          <w:rFonts w:ascii="Times New Roman" w:hAnsi="Times New Roman" w:cs="Times New Roman"/>
          <w:sz w:val="24"/>
          <w:szCs w:val="24"/>
        </w:rPr>
        <w:t>Энергоцентра</w:t>
      </w:r>
      <w:proofErr w:type="spellEnd"/>
      <w:r w:rsidRPr="004E2467">
        <w:rPr>
          <w:rFonts w:ascii="Times New Roman" w:hAnsi="Times New Roman" w:cs="Times New Roman"/>
          <w:sz w:val="24"/>
          <w:szCs w:val="24"/>
        </w:rPr>
        <w:t xml:space="preserve"> №</w:t>
      </w:r>
      <w:r w:rsidR="00D017B0" w:rsidRPr="00D017B0">
        <w:rPr>
          <w:rFonts w:ascii="Times New Roman" w:hAnsi="Times New Roman" w:cs="Times New Roman"/>
          <w:sz w:val="24"/>
          <w:szCs w:val="24"/>
        </w:rPr>
        <w:t>2</w:t>
      </w:r>
      <w:r w:rsidRPr="004E2467">
        <w:rPr>
          <w:rFonts w:ascii="Times New Roman" w:hAnsi="Times New Roman" w:cs="Times New Roman"/>
          <w:sz w:val="24"/>
          <w:szCs w:val="24"/>
        </w:rPr>
        <w:t>»</w:t>
      </w:r>
    </w:p>
    <w:p w:rsidR="00DF4611" w:rsidRDefault="0035514D" w:rsidP="00DF461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-266270</wp:posOffset>
            </wp:positionH>
            <wp:positionV relativeFrom="paragraph">
              <wp:posOffset>309416</wp:posOffset>
            </wp:positionV>
            <wp:extent cx="6419031" cy="8188419"/>
            <wp:effectExtent l="0" t="0" r="1270" b="3175"/>
            <wp:wrapNone/>
            <wp:docPr id="3" name="Рисунок 3" descr="C:\Моя\Работа\Прогресс Паритет\ПРОЕКТ ЭЦ2\Новая папка (2)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я\Работа\Прогресс Паритет\ПРОЕКТ ЭЦ2\Новая папка (2)\Untitle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8" t="18020" r="7814" b="3082"/>
                    <a:stretch/>
                  </pic:blipFill>
                  <pic:spPr bwMode="auto">
                    <a:xfrm>
                      <a:off x="0" y="0"/>
                      <a:ext cx="6420367" cy="819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4611" w:rsidRPr="004E2467">
        <w:rPr>
          <w:rFonts w:ascii="Times New Roman" w:hAnsi="Times New Roman" w:cs="Times New Roman"/>
          <w:sz w:val="24"/>
          <w:szCs w:val="24"/>
        </w:rPr>
        <w:t>Основная часть</w:t>
      </w:r>
    </w:p>
    <w:p w:rsidR="00D017B0" w:rsidRDefault="00D017B0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73EBF" w:rsidRDefault="00F73EBF" w:rsidP="004E2467">
      <w:pPr>
        <w:pStyle w:val="Default"/>
        <w:jc w:val="right"/>
      </w:pPr>
    </w:p>
    <w:p w:rsidR="00F73EBF" w:rsidRDefault="004E2467" w:rsidP="00F73EB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lastRenderedPageBreak/>
        <w:t>Положение о размещении линейного объекта</w:t>
      </w:r>
    </w:p>
    <w:p w:rsidR="004E2467" w:rsidRDefault="004E2467" w:rsidP="004E24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t>«Электростанции на базе газопоршневых генераторных установок для электроснабжения объектов нефтедобычи на приобском месторождении ООО «</w:t>
      </w:r>
      <w:proofErr w:type="spellStart"/>
      <w:r w:rsidRPr="00F73EBF">
        <w:rPr>
          <w:rFonts w:ascii="Times New Roman" w:hAnsi="Times New Roman" w:cs="Times New Roman"/>
          <w:b/>
          <w:sz w:val="24"/>
          <w:szCs w:val="24"/>
        </w:rPr>
        <w:t>Газпромнефть-Хантос</w:t>
      </w:r>
      <w:proofErr w:type="spellEnd"/>
      <w:r w:rsidRPr="00F73EBF">
        <w:rPr>
          <w:rFonts w:ascii="Times New Roman" w:hAnsi="Times New Roman" w:cs="Times New Roman"/>
          <w:b/>
          <w:sz w:val="24"/>
          <w:szCs w:val="24"/>
        </w:rPr>
        <w:t xml:space="preserve">» Газопровод-отвод от точки врезки в газопровод «ЮП ГПЗ» до ГПЭС ПО </w:t>
      </w:r>
      <w:proofErr w:type="spellStart"/>
      <w:r w:rsidRPr="00F73EBF">
        <w:rPr>
          <w:rFonts w:ascii="Times New Roman" w:hAnsi="Times New Roman" w:cs="Times New Roman"/>
          <w:b/>
          <w:sz w:val="24"/>
          <w:szCs w:val="24"/>
        </w:rPr>
        <w:t>Энергоцентра</w:t>
      </w:r>
      <w:proofErr w:type="spellEnd"/>
      <w:r w:rsidRPr="00F73EBF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35514D" w:rsidRPr="0035514D">
        <w:rPr>
          <w:rFonts w:ascii="Times New Roman" w:hAnsi="Times New Roman" w:cs="Times New Roman"/>
          <w:b/>
          <w:sz w:val="24"/>
          <w:szCs w:val="24"/>
        </w:rPr>
        <w:t>2</w:t>
      </w:r>
      <w:r w:rsidRPr="00F73EBF">
        <w:rPr>
          <w:rFonts w:ascii="Times New Roman" w:hAnsi="Times New Roman" w:cs="Times New Roman"/>
          <w:b/>
          <w:sz w:val="24"/>
          <w:szCs w:val="24"/>
        </w:rPr>
        <w:t>»</w:t>
      </w:r>
    </w:p>
    <w:p w:rsidR="0035514D" w:rsidRPr="0008461B" w:rsidRDefault="0035514D" w:rsidP="009241C5">
      <w:pPr>
        <w:pStyle w:val="1"/>
      </w:pPr>
      <w:bookmarkStart w:id="0" w:name="_Toc445826799"/>
      <w:bookmarkStart w:id="1" w:name="_Toc486846225"/>
      <w:bookmarkStart w:id="2" w:name="_Toc498397329"/>
      <w:bookmarkStart w:id="3" w:name="_Toc504496788"/>
      <w:bookmarkStart w:id="4" w:name="_Toc528678166"/>
      <w:bookmarkStart w:id="5" w:name="_Toc531422132"/>
      <w:bookmarkStart w:id="6" w:name="_Toc531424121"/>
      <w:bookmarkStart w:id="7" w:name="_Toc9070740"/>
      <w:bookmarkStart w:id="8" w:name="_Toc58490201"/>
      <w:bookmarkStart w:id="9" w:name="_Toc66653099"/>
      <w:bookmarkStart w:id="10" w:name="_Toc498395019"/>
      <w:r w:rsidRPr="00AA7804">
        <w:t>1. </w:t>
      </w:r>
      <w:bookmarkEnd w:id="0"/>
      <w:r w:rsidRPr="00AA7804">
        <w:t xml:space="preserve">Наименование, </w:t>
      </w:r>
      <w:r w:rsidRPr="009E3EA5">
        <w:t>основные</w:t>
      </w:r>
      <w:r w:rsidRPr="00AA7804">
        <w:t xml:space="preserve"> характеристики (категория, протяженность, проектная мощность, пропускная способность, грузонапряженность, интенсивность </w:t>
      </w:r>
      <w:r w:rsidRPr="0008461B">
        <w:t>движения) и назначение планируемых для размещения линейных объектов</w:t>
      </w:r>
      <w:bookmarkEnd w:id="1"/>
      <w:bookmarkEnd w:id="2"/>
      <w:r w:rsidRPr="0008461B">
        <w:t>.</w:t>
      </w:r>
      <w:bookmarkEnd w:id="3"/>
      <w:bookmarkEnd w:id="4"/>
      <w:bookmarkEnd w:id="5"/>
      <w:bookmarkEnd w:id="6"/>
      <w:bookmarkEnd w:id="7"/>
      <w:bookmarkEnd w:id="8"/>
      <w:bookmarkEnd w:id="9"/>
      <w:r w:rsidRPr="0008461B">
        <w:t xml:space="preserve"> </w:t>
      </w:r>
    </w:p>
    <w:bookmarkEnd w:id="10"/>
    <w:p w:rsidR="0035514D" w:rsidRPr="0035514D" w:rsidRDefault="0035514D" w:rsidP="0035514D">
      <w:pPr>
        <w:pStyle w:val="TableParagraph"/>
        <w:ind w:right="-1" w:firstLine="709"/>
        <w:jc w:val="both"/>
        <w:rPr>
          <w:rFonts w:eastAsia="Arial,Italic"/>
          <w:sz w:val="24"/>
          <w:szCs w:val="24"/>
          <w:lang w:val="ru-RU"/>
        </w:rPr>
      </w:pPr>
      <w:r w:rsidRPr="0035514D">
        <w:rPr>
          <w:sz w:val="24"/>
          <w:szCs w:val="24"/>
          <w:lang w:val="ru-RU"/>
        </w:rPr>
        <w:t xml:space="preserve">Документацией по планировке территории предусматривается </w:t>
      </w:r>
      <w:r w:rsidRPr="0035514D">
        <w:rPr>
          <w:rFonts w:eastAsia="Arial,Italic"/>
          <w:sz w:val="24"/>
          <w:szCs w:val="24"/>
          <w:lang w:val="ru-RU"/>
        </w:rPr>
        <w:t xml:space="preserve">прокладка магистрального газопровода отвода СОГ к площадке ГПЭС №2. Прокладка газопровода-отвода начинается от точки врезки в газопровод «магистральный газопровод на участке «ГПЗ-ЮП КС – КУ №4-т.вр. в газопровод газоснабжения Ханты-Мансийска» </w:t>
      </w:r>
      <w:r w:rsidRPr="0035514D">
        <w:rPr>
          <w:rFonts w:eastAsia="Arial,Italic"/>
          <w:sz w:val="24"/>
          <w:szCs w:val="24"/>
        </w:rPr>
        <w:t>D</w:t>
      </w:r>
      <w:r w:rsidRPr="0035514D">
        <w:rPr>
          <w:rFonts w:eastAsia="Arial,Italic"/>
          <w:sz w:val="24"/>
          <w:szCs w:val="24"/>
          <w:lang w:val="ru-RU"/>
        </w:rPr>
        <w:t>у 426х9мм» до запорной арматуры на вводе в блок подготовки газа (БПГ СОГ).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Данный газопровод – отвод СОГ (сухой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обензиненный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газ) расположен на Приобском месторождении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Газпромнефть-Хатнос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 («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Энергоцентр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№2 для электроснабжения объектов нефтедобычи на Приобском месторождении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Газпромнефть-Хантос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»), расположенному по адресу: Ханты-Мансийский – Югра автономный округ, 70 км. к востоку от г. Ханты-Мансийск.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Источником газоснабжения является: «магистральный газопровод на участке «ГПЗ-ЮП КС – КУ №4-т.вр.»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Dу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426х9мм». Границей проектирования газопровода-отвода является точка подключения к надземному шаровому крану DN80 на вводе в блок подготовки газа БПГ СОГ на территории площадки ГПЭС №2.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Транспортируемая среда –сухой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отбензиненный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газ.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Протяженность трассы проектируемого газопровода отвода по пикетам составляет 131,35 м. Диаметр - 89х6 мм. Максимальное давление - 7,5 МПа.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Пропускная способность обеспечивает транспортировку газа 3784,64 м3/ч.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На трассе газопровода отвода предусмотрено устройство одного кранового узла № 4.1, согласно СП 36.13330.2012 «Магистральные трубопроводы. Актуализированная редакция СНиП 2.05.06-85* (с Изменениями N 1, 2)» п. 8.2.1 - крановый узел №4.1 после врезки в газопровод «магистральный газопровод на участке «ГПЗ-ЮП КС – КУ №4-т.вр. в газопровод газоснабжения Ханты-Мансийска»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Dу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426х9мм» DN 80 мм,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Рр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16 МПа (в составе кран шаровой с электроприводом, система продувочных трубопроводов);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В проекте предусмотрено установка на крановом узле запорной арматуры с электроприводом. На трубопроводах до и после запорной арматуры предусматривается контроль давления. Непосредственный контроль и управление работой проектируемых площадок производится оператором с автоматизированного рабочего места из диспетчерского пункта.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Для газопровода-отвода предусмотрена согласно п. 2.3.3 Специальных технический условий автоматизированная система отключения аварийных участков трубопровода и запорной арматуры в случае утечки.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На продувочные свечи устанавливается оголовок заводского изготовления с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самооткидывающейся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захлопкой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согласно п. 6.5.7 СТО Газпром 2-3.5-051-2006.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Расстояние от запорной арматуры на газопроводе-отводе до продувочного газопровода составляет не менее 15 м.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Для исключения несанкционированного вмешательства в ход технологических процессов, узлы запорной арматуры имеют сетчатые ограждения высотой 2,2 м с закрывающимися на замок калитками. На ограждения крановых узлов устанавливаются запрещающие знаки: «Газ! Вход запрещен» и «Запрещается пользоваться открытым огнем и курить» а также предусмотрена установка информационной таблички с указанием ЭО, </w:t>
      </w:r>
      <w:r w:rsidRPr="0035514D">
        <w:rPr>
          <w:rFonts w:ascii="Times New Roman" w:eastAsia="Arial,Italic" w:hAnsi="Times New Roman" w:cs="Times New Roman"/>
          <w:sz w:val="24"/>
          <w:szCs w:val="24"/>
        </w:rPr>
        <w:lastRenderedPageBreak/>
        <w:t>филиала ЭО и телефона филиала ЭО в соответствии со СТО Газпром 2-3.5-454-2010 «Правила эксплуатации магистральных газопроводов».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Проектируемый газопровод отвод СОГ проложен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надземно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на свайных опорах. Высота прокладки надземного трубопровода принята не менее 1,5 м от поверхности земли до низа теплоизоляции трубопровода.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Компенсации продольных деформаций трубопровода предусмотрена за счет поворотов трассы газопровода.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Между компенсационными участками устанавливаются неподвижные опоры, а между неподвижными опорами устанавливаются подвижные опоры. Для фиксации положения трубопровода в проекте предусмотрено применение корпусных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хомутовых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опор по ТУ 1468-024-96950580-2012 из стали 09Г2С.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Расстояние между подвижными опорами не более 4,0 м.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Прокладка трубопровода предусмотрена в теплоизоляции с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электрообогревом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Для прокладки газопровода-отвода приняты трубы O89х6-К52-13ХФА ТУ 1317-233-00147016-02 ударная вязкость КСU = 29,4Дж/см2 с температурой испытания КСU минус 60 °С ударная вязкость КСV =29,4 Дж/см2 с температурой испытания КСV минус 56°С.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Район прохождения трасс трубопровода отличается сложными инженерно-геологическими условиями (пучение грунтов). С учетом данных изысканий, в целях снижения отрицательного воздействия на окружающую среду, участок газопровода трассы в районе кранового узла №4.1 проложен на глубине 1,2 м.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color w:val="0070C0"/>
          <w:sz w:val="24"/>
          <w:szCs w:val="24"/>
        </w:rPr>
      </w:pPr>
    </w:p>
    <w:p w:rsidR="0035514D" w:rsidRPr="0035514D" w:rsidRDefault="0035514D" w:rsidP="009241C5">
      <w:pPr>
        <w:pStyle w:val="ab"/>
      </w:pPr>
      <w:bookmarkStart w:id="11" w:name="_Toc486846226"/>
      <w:bookmarkStart w:id="12" w:name="_Toc498397330"/>
      <w:bookmarkStart w:id="13" w:name="_Toc531422133"/>
      <w:bookmarkStart w:id="14" w:name="_Toc531424122"/>
      <w:bookmarkStart w:id="15" w:name="_Toc9070741"/>
      <w:bookmarkStart w:id="16" w:name="_Toc58490202"/>
      <w:bookmarkStart w:id="17" w:name="_Toc504496789"/>
      <w:bookmarkStart w:id="18" w:name="_Toc528678167"/>
      <w:r w:rsidRPr="0035514D">
        <w:t>2. </w:t>
      </w:r>
      <w:bookmarkEnd w:id="11"/>
      <w:bookmarkEnd w:id="12"/>
      <w:r w:rsidRPr="0035514D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объектов.</w:t>
      </w:r>
      <w:bookmarkEnd w:id="13"/>
      <w:bookmarkEnd w:id="14"/>
      <w:bookmarkEnd w:id="15"/>
      <w:bookmarkEnd w:id="16"/>
    </w:p>
    <w:bookmarkEnd w:id="17"/>
    <w:bookmarkEnd w:id="18"/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Зона планируемого размещения линейных объектов устанавливается на межселенной территории Ханты-Мансийского района Тюменской области.</w:t>
      </w:r>
    </w:p>
    <w:p w:rsidR="0035514D" w:rsidRPr="0035514D" w:rsidRDefault="0035514D" w:rsidP="009241C5">
      <w:pPr>
        <w:pStyle w:val="1"/>
      </w:pPr>
      <w:bookmarkStart w:id="19" w:name="_Toc504496790"/>
      <w:bookmarkStart w:id="20" w:name="_Toc528678168"/>
      <w:bookmarkStart w:id="21" w:name="_Toc531422134"/>
      <w:bookmarkStart w:id="22" w:name="_Toc531424123"/>
      <w:bookmarkStart w:id="23" w:name="_Toc9070742"/>
      <w:bookmarkStart w:id="24" w:name="_Toc58490203"/>
      <w:bookmarkStart w:id="25" w:name="_Toc66653100"/>
      <w:r w:rsidRPr="0035514D">
        <w:t>3. Перечень координат характерных точек границ зон планируемого размещения линейного объекта.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</w:pPr>
      <w:bookmarkStart w:id="26" w:name="_Toc515464897"/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>Перечень координат характерных точек границ зон планируемого размещения линейных объектов</w:t>
      </w:r>
      <w:r w:rsidRPr="0035514D">
        <w:rPr>
          <w:rFonts w:ascii="Times New Roman" w:hAnsi="Times New Roman" w:cs="Times New Roman"/>
          <w:sz w:val="24"/>
          <w:szCs w:val="24"/>
        </w:rPr>
        <w:t>.</w:t>
      </w:r>
    </w:p>
    <w:p w:rsidR="0035514D" w:rsidRPr="0035514D" w:rsidRDefault="0035514D" w:rsidP="0035514D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(Система координат МСК 86)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Таблица № 3.1</w:t>
      </w:r>
      <w:bookmarkEnd w:id="26"/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35514D" w:rsidRPr="0035514D" w:rsidSect="0035514D">
          <w:footerReference w:type="default" r:id="rId8"/>
          <w:pgSz w:w="11906" w:h="16838"/>
          <w:pgMar w:top="720" w:right="850" w:bottom="426" w:left="1701" w:header="340" w:footer="708" w:gutter="0"/>
          <w:cols w:space="708"/>
          <w:titlePg/>
          <w:docGrid w:linePitch="360"/>
        </w:sect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204"/>
        <w:gridCol w:w="1503"/>
        <w:gridCol w:w="1606"/>
      </w:tblGrid>
      <w:tr w:rsidR="0035514D" w:rsidRPr="0035514D" w:rsidTr="00224614">
        <w:tc>
          <w:tcPr>
            <w:tcW w:w="1204" w:type="dxa"/>
            <w:vMerge w:val="restart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lastRenderedPageBreak/>
              <w:t>Номер точки</w:t>
            </w:r>
          </w:p>
        </w:tc>
        <w:tc>
          <w:tcPr>
            <w:tcW w:w="3109" w:type="dxa"/>
            <w:gridSpan w:val="2"/>
            <w:vAlign w:val="center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Координаты</w:t>
            </w:r>
          </w:p>
        </w:tc>
      </w:tr>
      <w:tr w:rsidR="0035514D" w:rsidRPr="0035514D" w:rsidTr="00224614">
        <w:tc>
          <w:tcPr>
            <w:tcW w:w="1204" w:type="dxa"/>
            <w:vMerge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3" w:type="dxa"/>
            <w:vAlign w:val="center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X</w:t>
            </w:r>
          </w:p>
        </w:tc>
        <w:tc>
          <w:tcPr>
            <w:tcW w:w="1606" w:type="dxa"/>
            <w:vAlign w:val="center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У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1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930944.48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2711072.82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930953.72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2710993.36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3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930828.22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2710977.98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4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930823.34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2710977.68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5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930815.02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2711058.11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930819.00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2711058.59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7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930823.10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2711058.80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8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930827.72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2711058.52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15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930897.35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2711115.22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16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930897.56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2711116.00</w:t>
            </w:r>
          </w:p>
        </w:tc>
      </w:tr>
      <w:tr w:rsidR="0035514D" w:rsidRPr="0035514D" w:rsidTr="00224614">
        <w:tc>
          <w:tcPr>
            <w:tcW w:w="1204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17</w:t>
            </w:r>
          </w:p>
        </w:tc>
        <w:tc>
          <w:tcPr>
            <w:tcW w:w="1503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930929.15</w:t>
            </w:r>
          </w:p>
        </w:tc>
        <w:tc>
          <w:tcPr>
            <w:tcW w:w="1606" w:type="dxa"/>
            <w:vAlign w:val="bottom"/>
          </w:tcPr>
          <w:p w:rsidR="0035514D" w:rsidRPr="0035514D" w:rsidRDefault="0035514D" w:rsidP="0035514D">
            <w:pPr>
              <w:jc w:val="both"/>
              <w:rPr>
                <w:sz w:val="24"/>
                <w:szCs w:val="24"/>
              </w:rPr>
            </w:pPr>
            <w:r w:rsidRPr="0035514D">
              <w:rPr>
                <w:sz w:val="24"/>
                <w:szCs w:val="24"/>
              </w:rPr>
              <w:t>2711120.93</w:t>
            </w:r>
          </w:p>
        </w:tc>
      </w:tr>
    </w:tbl>
    <w:p w:rsidR="0035514D" w:rsidRPr="0035514D" w:rsidRDefault="0035514D" w:rsidP="009241C5">
      <w:pPr>
        <w:pStyle w:val="1"/>
        <w:sectPr w:rsidR="0035514D" w:rsidRPr="0035514D" w:rsidSect="00F46357">
          <w:type w:val="continuous"/>
          <w:pgSz w:w="11906" w:h="16838"/>
          <w:pgMar w:top="720" w:right="850" w:bottom="1620" w:left="1701" w:header="340" w:footer="708" w:gutter="0"/>
          <w:cols w:num="2" w:space="708"/>
          <w:docGrid w:linePitch="360"/>
        </w:sectPr>
      </w:pPr>
      <w:bookmarkStart w:id="27" w:name="_Toc486846228"/>
      <w:bookmarkStart w:id="28" w:name="_Toc498397332"/>
      <w:bookmarkStart w:id="29" w:name="_Toc504496791"/>
      <w:bookmarkStart w:id="30" w:name="_Toc528678169"/>
      <w:bookmarkStart w:id="31" w:name="_Toc531422135"/>
      <w:bookmarkStart w:id="32" w:name="_Toc531424124"/>
      <w:bookmarkStart w:id="33" w:name="_Toc9070744"/>
      <w:bookmarkStart w:id="34" w:name="_Toc58490204"/>
    </w:p>
    <w:p w:rsidR="007C281A" w:rsidRDefault="007C281A" w:rsidP="009241C5">
      <w:pPr>
        <w:pStyle w:val="1"/>
      </w:pPr>
      <w:bookmarkStart w:id="35" w:name="_Toc66653101"/>
    </w:p>
    <w:p w:rsidR="007C281A" w:rsidRPr="007C281A" w:rsidRDefault="007C281A" w:rsidP="007C281A">
      <w:pPr>
        <w:rPr>
          <w:lang w:eastAsia="ru-RU"/>
        </w:rPr>
      </w:pPr>
    </w:p>
    <w:p w:rsidR="007C281A" w:rsidRDefault="007C281A" w:rsidP="009241C5">
      <w:pPr>
        <w:pStyle w:val="1"/>
      </w:pPr>
    </w:p>
    <w:p w:rsidR="0035514D" w:rsidRPr="0035514D" w:rsidRDefault="0035514D" w:rsidP="009241C5">
      <w:pPr>
        <w:pStyle w:val="1"/>
      </w:pPr>
      <w:r w:rsidRPr="0035514D">
        <w:t>4. </w:t>
      </w:r>
      <w:bookmarkEnd w:id="27"/>
      <w:bookmarkEnd w:id="28"/>
      <w:r w:rsidRPr="0035514D">
        <w:t>П</w:t>
      </w:r>
      <w:r w:rsidRPr="0035514D">
        <w:rPr>
          <w:shd w:val="clear" w:color="auto" w:fill="FFFFFF"/>
        </w:rPr>
        <w:t>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  <w:r w:rsidRPr="0035514D">
        <w:t>.</w:t>
      </w:r>
      <w:bookmarkEnd w:id="29"/>
      <w:bookmarkEnd w:id="30"/>
      <w:bookmarkEnd w:id="31"/>
      <w:bookmarkEnd w:id="32"/>
      <w:bookmarkEnd w:id="33"/>
      <w:bookmarkEnd w:id="34"/>
      <w:bookmarkEnd w:id="35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В границах разработки проекта планировки территории отсутствуют </w:t>
      </w:r>
      <w:r w:rsidRPr="0035514D"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>границы зон планируемого размещения линейных объектов, подлежащих реконструкции в связи с изменением их местоположения</w:t>
      </w:r>
      <w:r w:rsidRPr="0035514D">
        <w:rPr>
          <w:rFonts w:ascii="Times New Roman" w:hAnsi="Times New Roman" w:cs="Times New Roman"/>
          <w:sz w:val="24"/>
          <w:szCs w:val="24"/>
        </w:rPr>
        <w:t>.</w:t>
      </w:r>
    </w:p>
    <w:p w:rsidR="0035514D" w:rsidRPr="0035514D" w:rsidRDefault="0035514D" w:rsidP="009241C5">
      <w:pPr>
        <w:pStyle w:val="1"/>
      </w:pPr>
      <w:bookmarkStart w:id="36" w:name="_Toc528678170"/>
      <w:bookmarkStart w:id="37" w:name="_Toc531422136"/>
      <w:bookmarkStart w:id="38" w:name="_Toc531424125"/>
      <w:bookmarkStart w:id="39" w:name="_Toc9070745"/>
      <w:bookmarkStart w:id="40" w:name="_Toc58490205"/>
      <w:bookmarkStart w:id="41" w:name="_Toc66653102"/>
      <w:r w:rsidRPr="0035514D">
        <w:t>5. 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размещения.</w:t>
      </w:r>
      <w:bookmarkEnd w:id="36"/>
      <w:bookmarkEnd w:id="37"/>
      <w:bookmarkEnd w:id="38"/>
      <w:bookmarkEnd w:id="39"/>
      <w:bookmarkEnd w:id="40"/>
      <w:bookmarkEnd w:id="41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В составе линейных объектов в границах зон их планируемого размещения отсутствуют объекты капитального строительства, входящие в состав линейных объектов.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514D">
        <w:rPr>
          <w:rFonts w:ascii="Times New Roman" w:hAnsi="Times New Roman" w:cs="Times New Roman"/>
          <w:b/>
          <w:sz w:val="24"/>
          <w:szCs w:val="24"/>
        </w:rPr>
        <w:t>Информация о пересекаемых территориальных зонах.</w:t>
      </w:r>
      <w:r w:rsidRPr="0035514D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35514D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 w:rsidRPr="0035514D">
        <w:rPr>
          <w:rFonts w:ascii="Times New Roman" w:hAnsi="Times New Roman" w:cs="Times New Roman"/>
          <w:color w:val="000000"/>
          <w:sz w:val="24"/>
          <w:szCs w:val="24"/>
        </w:rPr>
        <w:t xml:space="preserve">Правилами землепользования и застройки межселенной территории Ханты-Мансийского района, утвержденными </w:t>
      </w:r>
      <w:r w:rsidRPr="003551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Решением Думы Ханты-Мансийского района № 284 от 21.03.2008 № 284 (с изменениями № 496 от 26.09.2019)</w:t>
      </w:r>
      <w:r w:rsidRPr="0035514D">
        <w:rPr>
          <w:rFonts w:ascii="Times New Roman" w:hAnsi="Times New Roman" w:cs="Times New Roman"/>
          <w:sz w:val="24"/>
          <w:szCs w:val="24"/>
        </w:rPr>
        <w:t>, территория размещения линейных объектов относится к территориальной зоне – зона земель лесного фонда (ЛФ)</w:t>
      </w:r>
      <w:r w:rsidRPr="0035514D">
        <w:rPr>
          <w:rFonts w:ascii="Times New Roman" w:hAnsi="Times New Roman" w:cs="Times New Roman"/>
          <w:b/>
          <w:sz w:val="24"/>
          <w:szCs w:val="24"/>
        </w:rPr>
        <w:t>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Для данной территориальной зоны градостроительные регламенты не устанавливаются согласно части 6 статьи 36 Градостроительного кодекса РФ.</w:t>
      </w:r>
    </w:p>
    <w:p w:rsidR="0035514D" w:rsidRPr="0035514D" w:rsidRDefault="0035514D" w:rsidP="0035514D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Граница территории, в отношении которой осуществляется подготовка проекта планировки расположена на землях Самаровского лесничества, Правдинского участкового лесничества</w:t>
      </w:r>
      <w:r w:rsidRPr="0035514D">
        <w:rPr>
          <w:rFonts w:ascii="Times New Roman" w:hAnsi="Times New Roman" w:cs="Times New Roman"/>
          <w:color w:val="000000"/>
          <w:sz w:val="24"/>
          <w:szCs w:val="24"/>
        </w:rPr>
        <w:t xml:space="preserve">. Регламент этой территории устанавливается в соответствии с </w:t>
      </w:r>
      <w:r w:rsidRPr="0035514D">
        <w:rPr>
          <w:rFonts w:ascii="Times New Roman" w:hAnsi="Times New Roman" w:cs="Times New Roman"/>
          <w:sz w:val="24"/>
          <w:szCs w:val="24"/>
        </w:rPr>
        <w:t>Лесохозяйственным регламентом Самаровского лесничества, утвержденным Приказом Департамента недропользования и природных ресурсов Ханты-Мансийского автономного округа – Югры от 02.03.2018 № 13-нп.</w:t>
      </w:r>
    </w:p>
    <w:p w:rsidR="0035514D" w:rsidRPr="0035514D" w:rsidRDefault="0035514D" w:rsidP="0035514D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42" w:name="_Toc66653103"/>
      <w:r w:rsidRPr="0035514D">
        <w:t>5.1. Нормативы, параметры и сроки использования лесов для строительства, реконструкции, эксплуатации линейных объектов.</w:t>
      </w:r>
      <w:bookmarkEnd w:id="42"/>
    </w:p>
    <w:p w:rsidR="0035514D" w:rsidRPr="0035514D" w:rsidRDefault="0035514D" w:rsidP="0035514D">
      <w:pPr>
        <w:pStyle w:val="ac"/>
      </w:pPr>
      <w:r w:rsidRPr="0035514D">
        <w:t xml:space="preserve">Использование лесов для строительства, реконструкции и эксплуатации линейных объектов определяется статьей 45 Лесного кодекса РФ и Правилами использования лесов для строительства, реконструкции линейных объектов, утвержденными приказом Рослесхоза от 10 июня 2011 года № 223 «Об утверждении Правил использования лесов для строительства, реконструкции, эксплуатации линейных объектов» (далее – Правила использования лесов для строительства, реконструкции, эксплуатации линейных объектов). </w:t>
      </w:r>
    </w:p>
    <w:p w:rsidR="0035514D" w:rsidRPr="0035514D" w:rsidRDefault="0035514D" w:rsidP="0035514D">
      <w:pPr>
        <w:pStyle w:val="ac"/>
      </w:pPr>
      <w:r w:rsidRPr="0035514D">
        <w:t>Использование лесов для строительства, реконструкции, эксплуатации линейных объектов осуществляется с предоставлением или без предоставления лесного участка, установлением или без установления сервитута, публичного сервитута.</w:t>
      </w:r>
    </w:p>
    <w:p w:rsidR="0035514D" w:rsidRPr="0035514D" w:rsidRDefault="0035514D" w:rsidP="0035514D">
      <w:pPr>
        <w:pStyle w:val="ac"/>
      </w:pPr>
      <w:r w:rsidRPr="0035514D">
        <w:t xml:space="preserve">Лесные участки, находящиеся в государственной собственности, предоставляются гражданам, юридическим лицам в соответствии со статьей 9 Лесного кодекса РФ для строительства линейных объектов. </w:t>
      </w:r>
    </w:p>
    <w:p w:rsidR="0035514D" w:rsidRPr="0035514D" w:rsidRDefault="0035514D" w:rsidP="0035514D">
      <w:pPr>
        <w:pStyle w:val="ac"/>
      </w:pPr>
      <w:r w:rsidRPr="0035514D">
        <w:t>Лесные участки, которые находятся в государственной собственности и на которых расположены линейные объекты, предоставляются на правах, предусмотренных статьей 9 Лесного кодекса РФ, гражданам, юридическим лицам, имеющим в собственности, безвозмездном пользовании, аренде, хозяйственном ведении или оперативном управлении такие линейные объекты.</w:t>
      </w:r>
    </w:p>
    <w:p w:rsidR="0035514D" w:rsidRPr="0035514D" w:rsidRDefault="0035514D" w:rsidP="0035514D">
      <w:pPr>
        <w:pStyle w:val="ac"/>
      </w:pPr>
      <w:r w:rsidRPr="0035514D">
        <w:t xml:space="preserve">Размещение линейных объектов допускается в защитных лесах и на особо защитных участках лесов Лесничества с учетом требований пункта 3 части 4 статьи 114, части 2 статьи 115, пункта 3 части 4 статьи 119 Лесного кодекса РФ. </w:t>
      </w:r>
    </w:p>
    <w:p w:rsidR="0035514D" w:rsidRPr="0035514D" w:rsidRDefault="0035514D" w:rsidP="0035514D">
      <w:pPr>
        <w:pStyle w:val="ac"/>
      </w:pPr>
      <w:r w:rsidRPr="0035514D">
        <w:lastRenderedPageBreak/>
        <w:t xml:space="preserve">Строительство, реконструкция и эксплуатация объектов, не связанных с созданием лесной инфраструктуры, на землях лесного фонда допускается для использования линий электропередачи, линий связи, дорог, трубопроводов и других линейных объектов, а также сооружений, являющихся неотъемлемой технологической частью указанных объектов (далее – линейные объекты), согласно Перечню объектов, не связанных с созданием лесной инфраструктуры для защитных лесов, эксплуатационных лесов и резервных лесов. </w:t>
      </w:r>
    </w:p>
    <w:p w:rsidR="0035514D" w:rsidRPr="0035514D" w:rsidRDefault="0035514D" w:rsidP="0035514D">
      <w:pPr>
        <w:pStyle w:val="ac"/>
      </w:pPr>
      <w:r w:rsidRPr="0035514D">
        <w:t xml:space="preserve">В защитных лесах предусмотренные частью 5 статьи 21 Лесного кодекса РФ выборочные рубки и сплошные рубки деревьев, кустарников, лиан допускаются в случаях, если строительство, реконструкция, эксплуатация объектов, не связанных с созданием лесной инфраструктуры, для целей, предусмотренных пунктами 1 – 4 части 1 статьи 21 Лесного кодекса РФ, не запрещены или не ограничены в соответствии с законодательством Российской Федерации. </w:t>
      </w:r>
    </w:p>
    <w:p w:rsidR="0035514D" w:rsidRPr="0035514D" w:rsidRDefault="0035514D" w:rsidP="0035514D">
      <w:pPr>
        <w:pStyle w:val="ac"/>
      </w:pPr>
      <w:r w:rsidRPr="0035514D">
        <w:t xml:space="preserve">В целях, предусмотренных пунктами 1 – 4 части 1 статьи 21 Лесного кодекса РФ (в том числе в целях проведения аварийно-спасательных работ), допускаются выборочные рубки и сплошные рубки деревьев, кустарников, лиан, в том числе в охранных зонах и санитарно-защитных зонах, предназначенных для обеспечения безопасности граждан и создания необходимых условий для эксплуатации соответствующих объектов. </w:t>
      </w:r>
    </w:p>
    <w:p w:rsidR="0035514D" w:rsidRPr="0035514D" w:rsidRDefault="0035514D" w:rsidP="0035514D">
      <w:pPr>
        <w:pStyle w:val="ac"/>
      </w:pPr>
      <w:r w:rsidRPr="0035514D">
        <w:t xml:space="preserve">Право собственности на древесину, которая получена при использовании лесов, расположенных на землях лесного фонда, в соответствии со статьей 45 Лесного кодекса РФ, принадлежит Российской Федерации. </w:t>
      </w:r>
    </w:p>
    <w:p w:rsidR="0035514D" w:rsidRPr="0035514D" w:rsidRDefault="0035514D" w:rsidP="0035514D">
      <w:pPr>
        <w:pStyle w:val="ac"/>
      </w:pPr>
      <w:r w:rsidRPr="0035514D">
        <w:t xml:space="preserve">Граждане и юридические лица, осуществляющие соответствующее использование лесов, обязаны соблюдать правовой режим охранных зон, устанавливаемых согласно законодательству Российской Федерации. </w:t>
      </w:r>
    </w:p>
    <w:p w:rsidR="0035514D" w:rsidRPr="0035514D" w:rsidRDefault="0035514D" w:rsidP="0035514D">
      <w:pPr>
        <w:pStyle w:val="ac"/>
      </w:pPr>
      <w:r w:rsidRPr="0035514D">
        <w:t xml:space="preserve">Осуществление строительства, реконструкции и эксплуатации линейных объектов должно исключать развитие эрозионных процессов на занятой и прилегающей территории. </w:t>
      </w:r>
    </w:p>
    <w:p w:rsidR="0035514D" w:rsidRPr="0035514D" w:rsidRDefault="0035514D" w:rsidP="0035514D">
      <w:pPr>
        <w:pStyle w:val="ac"/>
      </w:pPr>
      <w:r w:rsidRPr="0035514D">
        <w:t xml:space="preserve">Земли, которые использовались для строительства, реконструкции и (или) эксплуатации объектов, не связанных с созданием лесной инфраструктуры, подлежат рекультивации.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b/>
          <w:sz w:val="24"/>
          <w:szCs w:val="24"/>
        </w:rPr>
        <w:t>Ограничения по использованию лесов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  <w:r w:rsidRPr="0035514D">
        <w:rPr>
          <w:rFonts w:ascii="Times New Roman" w:hAnsi="Times New Roman" w:cs="Times New Roman"/>
          <w:b/>
          <w:sz w:val="24"/>
          <w:szCs w:val="24"/>
        </w:rPr>
        <w:t>для защитных лесов</w:t>
      </w:r>
      <w:r w:rsidRPr="0035514D">
        <w:rPr>
          <w:rFonts w:ascii="Times New Roman" w:hAnsi="Times New Roman" w:cs="Times New Roman"/>
          <w:sz w:val="24"/>
          <w:szCs w:val="24"/>
        </w:rPr>
        <w:t>, выполняющих функции защиты природных и иных объектов: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Запрещается: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осуществление деятельности, несовместимой с их целевым назначением и полезными функциями (часть 6 статьи 111 Лесного кодекса РФ);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создание лесоперерабатывающей инфраструктуры (часть 2 статьи 14 Лесного кодекса РФ);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в ценных лесах строительство и эксплуатация объектов капитального строительства, за исключением линейных объектов и гидротехнических сооружений (часть 2 статьи 115 Лесного кодекса РФ).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Ограничения: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проведение сплошных рубок в защитных лесах осуществляется в случаях, предусмотренных частью 5.1 статьи 21 Лесного кодекса РФ, и в случаях, если выборочные рубки не обеспечивают замену лесных насаждений, утрачивающих свои </w:t>
      </w:r>
      <w:proofErr w:type="spellStart"/>
      <w:r w:rsidRPr="0035514D">
        <w:rPr>
          <w:rFonts w:ascii="Times New Roman" w:hAnsi="Times New Roman" w:cs="Times New Roman"/>
          <w:sz w:val="24"/>
          <w:szCs w:val="24"/>
        </w:rPr>
        <w:t>средообразующие</w:t>
      </w:r>
      <w:proofErr w:type="spellEnd"/>
      <w:r w:rsidRPr="0035514D">
        <w:rPr>
          <w:rFonts w:ascii="Times New Roman" w:hAnsi="Times New Roman" w:cs="Times New Roman"/>
          <w:sz w:val="24"/>
          <w:szCs w:val="24"/>
        </w:rPr>
        <w:t xml:space="preserve">, водоохранные, санитарно-гигиенические, оздоровительные и иные полезные функции, на лесные насаждения, обеспечивающие сохранение целевого назначения защитных лесов и выполняемых ими полезных функций, если иное не установлено Лесным кодексом РФ; выборочные рубки лесных насаждений ведутся очень слабой, слабой и умеренной интенсивности, за исключением санитарных рубок, интенсивность которых для вырубки погибших, поврежденных и малоценных насаждений может достигать очень высокой интенсивности, устанавливаемой Правилами заготовки древесины.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Допускается: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lastRenderedPageBreak/>
        <w:t>в ценных лесах строительство, реконструкция и эксплуатация объектов капитального строительства, связанных с выполнением работ по геологическому изучению и разработкой месторождений углеводородного сырья, в отношении которых лицензии на пользование недрами получены до 31 декабря 2010 года, на срок, не превышающий срока действия таких лицензий (пункт 2 статьи 8.2 Федеральный закон от 4 декабря 2006 года № 201-ФЗ «О введении в действие Лесного кодекса Российской Федерации»).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b/>
          <w:sz w:val="24"/>
          <w:szCs w:val="24"/>
        </w:rPr>
        <w:t>Ограничения по видам использования лесов для строительства, реконструкции, эксплуатация линейных объектов</w:t>
      </w:r>
      <w:r w:rsidRPr="0035514D">
        <w:rPr>
          <w:rFonts w:ascii="Times New Roman" w:hAnsi="Times New Roman" w:cs="Times New Roman"/>
          <w:sz w:val="24"/>
          <w:szCs w:val="24"/>
        </w:rPr>
        <w:t xml:space="preserve"> (ограничения при строительстве, реконструкции, эксплуатации линий электропередачи, линий связи, дорог, трубопроводов и других линейных объектов установлены Правилами использования лесов для строительства, реконструкции, эксплуатации линейных объектов):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Не допускается: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повреждение лесных насаждений, растительного покрова и почв за пределами предоставленного лесного участка и соответствующей охранной зоны;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захламление прилегающих территорий за пределами предоставленного лесного участка строительным и бытовым мусором, отходами древесины, иными видами отходов;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загрязнение площади предоставленного лесного участка и территории за его пределами химическими и радиоактивными веществами;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проезд транспортных средств и иных механизмов по произвольным, неустановленным маршрутам за пределами предоставленного лесного участка и соответствующей охранной зоны.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Ограничение:</w:t>
      </w:r>
      <w:r w:rsidRPr="0035514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при использовании лесов в целях строительства, реконструкции и эксплуатации автомобильных и железных дорог, случаи, вызывающие нарушение поверхностного и внутрипочвенного стока вод, затопление или заболачивание лесных участков вдоль дорог (пункт 6 Правил использования лесов для строительства, реконструкции, эксплуатации линейных объектов).</w:t>
      </w:r>
    </w:p>
    <w:p w:rsidR="0035514D" w:rsidRPr="0035514D" w:rsidRDefault="0035514D" w:rsidP="009241C5">
      <w:pPr>
        <w:pStyle w:val="1"/>
        <w:rPr>
          <w:shd w:val="clear" w:color="auto" w:fill="FFFFFF"/>
        </w:rPr>
      </w:pPr>
      <w:bookmarkStart w:id="43" w:name="_Toc531422137"/>
      <w:bookmarkStart w:id="44" w:name="_Toc531424126"/>
      <w:bookmarkStart w:id="45" w:name="_Toc9070746"/>
      <w:bookmarkStart w:id="46" w:name="_Toc58490206"/>
      <w:bookmarkStart w:id="47" w:name="_Toc66653104"/>
      <w:r w:rsidRPr="0035514D">
        <w:t>6. И</w:t>
      </w:r>
      <w:r w:rsidRPr="0035514D">
        <w:rPr>
          <w:shd w:val="clear" w:color="auto" w:fill="FFFFFF"/>
        </w:rPr>
        <w:t>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линейного объекта.</w:t>
      </w:r>
      <w:bookmarkEnd w:id="43"/>
      <w:bookmarkEnd w:id="44"/>
      <w:bookmarkEnd w:id="45"/>
      <w:bookmarkEnd w:id="46"/>
      <w:bookmarkEnd w:id="47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В границах территории, в отношении которой осуществляется подготовка проекта планировки отсутствуют </w:t>
      </w:r>
      <w:r w:rsidRPr="0035514D">
        <w:rPr>
          <w:rFonts w:ascii="Times New Roman" w:hAnsi="Times New Roman" w:cs="Times New Roman"/>
          <w:sz w:val="24"/>
          <w:szCs w:val="24"/>
          <w:shd w:val="clear" w:color="auto" w:fill="FFFFFF"/>
        </w:rPr>
        <w:t>сохраняемые объекты капитального строительства (здание, строение, сооружение, объекты, строительство которых не завершено), существующие и строящиеся на момент подготовки проекта планировки территории, а также объекты капитального строительства, планируемые к строительству в соответствии с ранее утвержденной документацией по планировке территории.</w:t>
      </w:r>
    </w:p>
    <w:p w:rsidR="0035514D" w:rsidRPr="0035514D" w:rsidRDefault="0035514D" w:rsidP="009241C5">
      <w:pPr>
        <w:pStyle w:val="1"/>
      </w:pPr>
      <w:bookmarkStart w:id="48" w:name="_Toc498395022"/>
      <w:bookmarkStart w:id="49" w:name="_Toc531422138"/>
      <w:bookmarkStart w:id="50" w:name="_Toc531424127"/>
      <w:bookmarkStart w:id="51" w:name="_Toc9070747"/>
      <w:bookmarkStart w:id="52" w:name="_Toc58490207"/>
      <w:bookmarkStart w:id="53" w:name="_Toc66653105"/>
      <w:r w:rsidRPr="0035514D">
        <w:t xml:space="preserve">7. </w:t>
      </w:r>
      <w:bookmarkEnd w:id="48"/>
      <w:r w:rsidRPr="0035514D"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объектов.</w:t>
      </w:r>
      <w:bookmarkEnd w:id="49"/>
      <w:bookmarkEnd w:id="50"/>
      <w:bookmarkEnd w:id="51"/>
      <w:bookmarkEnd w:id="52"/>
      <w:bookmarkEnd w:id="53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В границах территории, в отношении которой осуществляется подготовка проекта планировки отсутствуют объекты культурного наследия.</w:t>
      </w:r>
    </w:p>
    <w:p w:rsidR="0035514D" w:rsidRPr="0035514D" w:rsidRDefault="0035514D" w:rsidP="009241C5">
      <w:pPr>
        <w:pStyle w:val="1"/>
        <w:rPr>
          <w:rStyle w:val="10"/>
          <w:rFonts w:eastAsia="GOST Type AU"/>
          <w:b/>
          <w:bCs/>
          <w:kern w:val="0"/>
          <w:szCs w:val="24"/>
        </w:rPr>
      </w:pPr>
      <w:bookmarkStart w:id="54" w:name="_Toc531422139"/>
      <w:bookmarkStart w:id="55" w:name="_Toc531424128"/>
      <w:bookmarkStart w:id="56" w:name="_Toc9070748"/>
      <w:bookmarkStart w:id="57" w:name="_Toc58490208"/>
      <w:bookmarkStart w:id="58" w:name="_Toc66653106"/>
      <w:r w:rsidRPr="0035514D">
        <w:rPr>
          <w:rStyle w:val="10"/>
          <w:rFonts w:eastAsia="GOST Type AU"/>
          <w:b/>
          <w:kern w:val="0"/>
          <w:szCs w:val="24"/>
        </w:rPr>
        <w:lastRenderedPageBreak/>
        <w:t>8. Информация о необходимости осуществления мероприятий по охране окружающей среды.</w:t>
      </w:r>
      <w:bookmarkEnd w:id="54"/>
      <w:bookmarkEnd w:id="55"/>
      <w:bookmarkEnd w:id="56"/>
      <w:bookmarkEnd w:id="57"/>
      <w:bookmarkEnd w:id="58"/>
    </w:p>
    <w:p w:rsidR="0035514D" w:rsidRDefault="0035514D" w:rsidP="0035514D">
      <w:pPr>
        <w:pStyle w:val="2"/>
      </w:pPr>
      <w:bookmarkStart w:id="59" w:name="_Toc9070749"/>
      <w:bookmarkStart w:id="60" w:name="_Toc58490209"/>
      <w:bookmarkStart w:id="61" w:name="_Toc66653107"/>
    </w:p>
    <w:p w:rsidR="0035514D" w:rsidRPr="0035514D" w:rsidRDefault="0035514D" w:rsidP="0035514D">
      <w:pPr>
        <w:pStyle w:val="2"/>
      </w:pPr>
      <w:r w:rsidRPr="0035514D">
        <w:t>8.1. Мероприятия по охране атмосферного воздуха.</w:t>
      </w:r>
      <w:bookmarkEnd w:id="59"/>
      <w:bookmarkEnd w:id="60"/>
      <w:bookmarkEnd w:id="61"/>
    </w:p>
    <w:p w:rsid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На основе проведенных расчетов выбросов ЗВ и расчетов на рассеивание ЗВ в атмосферном воздухе в период строительства мероприятия по охране атмосферного воздуха проводить не требуется в соответствие со ст. 16 Федерального закона от 4 мая 1999 г. № 96-ФЗ «Об охране атмосферного воздуха».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Мероприятий по охране атмосферного воздуха в период эксплуатации проводить не требуется в соответствие со ст. 16 Федерального закона от 4 мая 1999 г. № 96-ФЗ «Об охране атмосферного воздуха».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Так как при исправном режиме использования газопровода, выделение загрязняющих веществ в атмосферу незначительно, то мероприятиями по охране атмосферного воздуха в период эксплуатации являются, прежде всего, меры, обеспечивающие безаварийную работу газопровода. Это рациональное размещение отключающих устройств, пассивная и активная защита газопровода от коррозии, контроль сварных стыков физическими методами контроля, испытание газопровода на герметичность и др.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62" w:name="_Toc9070750"/>
      <w:bookmarkStart w:id="63" w:name="_Toc58490210"/>
      <w:bookmarkStart w:id="64" w:name="_Toc66653108"/>
      <w:r w:rsidRPr="0035514D">
        <w:t>8.2. Мероприятия по охране и рациональному использованию земельных ресурсов и почвенного покрова.</w:t>
      </w:r>
      <w:bookmarkEnd w:id="62"/>
      <w:bookmarkEnd w:id="63"/>
      <w:bookmarkEnd w:id="64"/>
    </w:p>
    <w:p w:rsid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Воздействие на земельные ресурсы заключается в выемке грунта под опоры для прокладки трубопровода. После завершения работ предусматривается благоустройство нарушенной территории: обратная засыпка траншеи и утрамбовка засыпаемого материала и разравнивание в соответствии с прилегающим микрорельефом в соответствии с требованиями раздела 10 СП №45.13330.2012 от 29.12.2011 (Актуализированная редакция СНиП 3.02.01-87 «Земляные сооружения, основания и фундаменты»).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В период эксплуатации в целях предупреждения нарушений, а также обеспечения нормальных условий работы газораспределительной сети устанавливается охранная зона: вдоль трассы наружного газопровода в виде территории, ограниченной условными линиями, проходящими на расстоянии двух метров с каждой стороны газопровода.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Захват части территории земли других собственников производиться не будет.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b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b/>
          <w:sz w:val="24"/>
          <w:szCs w:val="24"/>
        </w:rPr>
        <w:t>Мероприятиями по охране и рациональному использованию земельных ресурсов и почвенного покрова являются: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b/>
          <w:sz w:val="24"/>
          <w:szCs w:val="24"/>
        </w:rPr>
        <w:t xml:space="preserve">- </w:t>
      </w:r>
      <w:r w:rsidRPr="0035514D">
        <w:rPr>
          <w:rFonts w:ascii="Times New Roman" w:eastAsia="Arial,Italic" w:hAnsi="Times New Roman" w:cs="Times New Roman"/>
          <w:sz w:val="24"/>
          <w:szCs w:val="24"/>
        </w:rPr>
        <w:t>уборка территории стройплощадки и прилегающей пятиметровой зоны (согласно п. 6.11, п. 6.2.6 СП 48.13330.2011 «Организация строительства»: «строительный мусор следует вывозить своевременно в сроки и в порядке, установленном органом местного самоуправления»; «Лицо, осуществляющее строительство, должно обеспечивать уборку территории стройплощадки и пятиметровой прилегающей зоны. Бытовой и строительный мусор, а также снег должны вывозиться своевременно в сроки и в порядке, установленном органом местного самоуправления»;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- восстановление покрытия, выравнивание рытвин и ям, возникших в результате проведения строительных работ, в соответствии с требованиями п. 6.11, п. 6.2.6 СП 48.13330.2011 «Организация строительства»: При производстве работ, связанных с устройством временных выемок и других препятствий на территории существующей застройки, лицо, осуществляющее строительство, обеспечивает проезд автотранспорта и проход к домам путем устройства мостов, пешеходных мостиков с поручнями, трапов по </w:t>
      </w:r>
      <w:r w:rsidRPr="0035514D">
        <w:rPr>
          <w:rFonts w:ascii="Times New Roman" w:eastAsia="Arial,Italic" w:hAnsi="Times New Roman" w:cs="Times New Roman"/>
          <w:sz w:val="24"/>
          <w:szCs w:val="24"/>
        </w:rPr>
        <w:lastRenderedPageBreak/>
        <w:t>согласованию с владельцем территории. После окончания работ указанные устройства должны быть вывезены с территории, а благоустройство территории должно быть восстановлено.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Трасса газопровода проходит по землям лесного фонда. Поэтому на отводимых земельных участках проводится техническая рекультивация. Технический этап рекультивации включает в себя следующие мероприятия: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- рытье до проектной отметки;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- размещение вынутого грунта непосредственно вдоль траншей;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- послойная обратная засыпка траншеи;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-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утромбование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грунтов до нормативных значений;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- планировка территории бульдозером в соответствие с прилегающим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микрорельефом;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- оставление территории на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самозарастание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(засев травосмесями не предусмотрен во избежание заноса на территорию нетипичных и карантинных видов растений. Характер рельефа и микрорельефа позволяет оставлять полосу на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самозарастание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: ровный рельеф без склонов и оврагов, размывания и смыва верхнего слоя осадками не будет. Поэтому биологический этап рекультивации не предусмотрен).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После завершения строительства территория очищается от строительного мусора. В соответствие со ст. 78 Земельного кодекса РФ, Постановлением Правительства РФ от 10.07.2018 г. № 800 «О проведении рекультивации и консервации земель», СП 45.13330.2017 Земляные сооружения, основания и фундаменты. Актуализированная редакция СНиП 3.02.01-87 (с Изменением № 1).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– для очистки колес строительной техники используется ручной способ. В соответствии с п. 6.2.7. СП 48.13330.2011 с положениями ст.12 п.2, ст.13 п.1 Земельного кодекса РФ: цели охраны земель и содержание охраны земель – защита земель от химического загрязнения;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– для сбора случайных проливов топлива рекомендуется использовать сорбент, действие которого заключается в химико-механическом преобразовании загрязненного грунта в порошкообразный, нейтральный для внешней среды материал. В соответствии с положениями ст.12 п.2, ст.13 п.1 Земельного кодекса РФ: цели охраны земель и содержание охраны земель – защита земель от химического загрязнения.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Согласно заключению Департамента по недропользованию по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УрФО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в пределах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трехкиломметровой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зоны от проектируемых объектов расположены следующие водозаборы: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• ХМН 02641 ВЭ –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Газпромнефть-Хантос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 - 1 водозабор для добычи подземных вод для технологического использования;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• ХМН 02644 ВЭ –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Газпромнефть-Хантос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 - 2 водозабора для добычи подземных вод для технологического использования;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• ХМН 02645 ВЭ –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Газпромнефть-Хантос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 - 3 водозабора для добычи подземных вод для технологического использования;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• ХМН 20196 ВЭ – ООО «Южно-Приобский ГПЗ» - 1 водозабор для добычи подземных вод для технологического использования;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• ХМН 157703 П – ООО «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Газпромнефть-Хантос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» - 1 водозабор для добычи подземных вод для технологического использования.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Поэтому для охраны и защиты скважин от загрязнения предусмотрены мероприятия. В пределах охранной зоны газопровода нахождение скважин исключено.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lastRenderedPageBreak/>
        <w:t>Мероприятия на территории ЗСО подземных источников водоснабжения в соответствие с СанПиН 2.1.4.1110-02 «Зоны санитарной охраны источников водоснабжения и водопроводов питьевого назначения»: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  <w:u w:val="single"/>
        </w:rPr>
      </w:pPr>
      <w:r w:rsidRPr="0035514D">
        <w:rPr>
          <w:rFonts w:ascii="Times New Roman" w:eastAsia="Arial,Italic" w:hAnsi="Times New Roman" w:cs="Times New Roman"/>
          <w:sz w:val="24"/>
          <w:szCs w:val="24"/>
          <w:u w:val="single"/>
        </w:rPr>
        <w:t>Во время строительства: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0" w:firstLine="709"/>
      </w:pPr>
      <w:r w:rsidRPr="0035514D">
        <w:t>применение герметических емкостей для перевозки растворов и бетонов;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0" w:firstLine="709"/>
      </w:pPr>
      <w:r w:rsidRPr="0035514D">
        <w:t xml:space="preserve">устранение открытого хранения, погрузки и перевозки сыпучих, пылящих веществ (применение контейнеров, специальных транспортных средств); 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0" w:firstLine="709"/>
      </w:pPr>
      <w:r w:rsidRPr="0035514D">
        <w:t>слив горюче-смазочных материалов только в специально отведенных и оборудованных для этой цели местах;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0" w:firstLine="709"/>
      </w:pPr>
      <w:r w:rsidRPr="0035514D">
        <w:t>после завершения всех работ восстановление нарушенных элементов благоустройства;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0" w:firstLine="709"/>
      </w:pPr>
      <w:r w:rsidRPr="0035514D">
        <w:t>использование сорбента при случайных проливах нефтепродуктов.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Данные мероприятия позволяют сохранить постоянство природного состава воды путем устранения и предупреждения возможности ее загрязнения в соответствие с п. 3.2. СанПиН 2.1.4.1110-02 «Зоны санитарной охраны источников водоснабжения и водопроводов питьевого назначения».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</w:p>
    <w:p w:rsidR="0035514D" w:rsidRPr="0035514D" w:rsidRDefault="0035514D" w:rsidP="0035514D">
      <w:pPr>
        <w:pStyle w:val="2"/>
      </w:pPr>
      <w:bookmarkStart w:id="65" w:name="_Toc9070751"/>
      <w:bookmarkStart w:id="66" w:name="_Toc58490211"/>
      <w:bookmarkStart w:id="67" w:name="_Toc66653109"/>
      <w:r w:rsidRPr="0035514D">
        <w:t xml:space="preserve">8.3. </w:t>
      </w:r>
      <w:bookmarkEnd w:id="65"/>
      <w:bookmarkEnd w:id="66"/>
      <w:r w:rsidRPr="0035514D">
        <w:t xml:space="preserve">Мероприятия по рациональному использованию и охране вод и водных биоресурсов на </w:t>
      </w:r>
      <w:proofErr w:type="spellStart"/>
      <w:r w:rsidRPr="0035514D">
        <w:t>пересеаемых</w:t>
      </w:r>
      <w:proofErr w:type="spellEnd"/>
      <w:r w:rsidRPr="0035514D">
        <w:t xml:space="preserve"> линейным источником объектах</w:t>
      </w:r>
      <w:bookmarkEnd w:id="67"/>
    </w:p>
    <w:p w:rsid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Охрана поверхностных и подземных вод организуется в целях защиты здоровья населения, обеспечения благоприятных условий водопользования и экологического благополучия водных объектов. Водоохранная зона для рек и озер создается как составная часть природоохранных мер, а также мероприятий по улучшению гидрологического режима, благоустройству рек, озер и прибрежных территорий.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Предусмотрено также предотвращение от захламления территории (в соответствии с требованиями ЗК РФ, ст. 12 и 13), а, соответственно, и предотвращения загрязнения поверхностных и подземных вод: сбор отходов с места строительства.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Принятые решения позволят свести к минимуму загрязнение почв, а значит и поверхностных и подземных вод. Дополнительных природоохранных мероприятий не требуется.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i/>
          <w:iCs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68" w:name="_Toc66653110"/>
      <w:r w:rsidRPr="0035514D">
        <w:t>8.4. Мероприятия по рациональному использованию общераспространенных полезных ископаемых, используемых при строительстве</w:t>
      </w:r>
      <w:bookmarkEnd w:id="68"/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,Italic" w:hAnsi="Times New Roman" w:cs="Times New Roman"/>
          <w:i/>
          <w:iCs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Из общераспространенных полезных ископаемых в строительстве газопровода использование общераспространённых полезных ископаемых: песок и щебень. Доставка с карьеров предприятий, имеющих лицензию на добычу соответствующих ресурсов.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i/>
          <w:iCs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69" w:name="_Toc66653111"/>
      <w:r w:rsidRPr="0035514D">
        <w:t>8.5. Мероприятия по сбору, использованию, обезвреживанию, транспортировке и размещению опасных отходов.</w:t>
      </w:r>
      <w:bookmarkEnd w:id="69"/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,Italic" w:hAnsi="Times New Roman" w:cs="Times New Roman"/>
          <w:i/>
          <w:iCs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Из видов обращения с отходами будет происходить только накопление.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Во исполнение требований ст. 32 ФЗ №384 от 30.12.2009 г. «Технический регламент о безопасности зданий и сооружений» предусмотрено следующее обращение с отходами: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- в соответствии с СанПиН 2.1.7.1322-03 «Гигиенические требования к размещению и обезвреживанию отходов производства и потребления» виды отходов 4-го и 5-го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кл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. </w:t>
      </w:r>
      <w:proofErr w:type="gramStart"/>
      <w:r w:rsidRPr="0035514D">
        <w:rPr>
          <w:rFonts w:ascii="Times New Roman" w:eastAsia="Arial,Italic" w:hAnsi="Times New Roman" w:cs="Times New Roman"/>
          <w:sz w:val="24"/>
          <w:szCs w:val="24"/>
        </w:rPr>
        <w:t>оп.,</w:t>
      </w:r>
      <w:proofErr w:type="gramEnd"/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 будут размещаться навалом на полигоне ТБО - Полигон промышленных и бытовых отходов Южной части Приобского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м.р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. Приказ ГРОРО №758 от 28 ноября 2014 г. № Объекта86-</w:t>
      </w:r>
      <w:r w:rsidRPr="0035514D">
        <w:rPr>
          <w:rFonts w:ascii="Times New Roman" w:eastAsia="Arial,Italic" w:hAnsi="Times New Roman" w:cs="Times New Roman"/>
          <w:sz w:val="24"/>
          <w:szCs w:val="24"/>
        </w:rPr>
        <w:lastRenderedPageBreak/>
        <w:t xml:space="preserve">00475-З-00758-281114. Назначение ОРО Захоронение отходов. Ближайший населенный пункт </w:t>
      </w:r>
      <w:proofErr w:type="spellStart"/>
      <w:r w:rsidRPr="0035514D">
        <w:rPr>
          <w:rFonts w:ascii="Times New Roman" w:eastAsia="Arial,Italic" w:hAnsi="Times New Roman" w:cs="Times New Roman"/>
          <w:sz w:val="24"/>
          <w:szCs w:val="24"/>
        </w:rPr>
        <w:t>г.Ханты-Мансийск</w:t>
      </w:r>
      <w:proofErr w:type="spellEnd"/>
      <w:r w:rsidRPr="0035514D">
        <w:rPr>
          <w:rFonts w:ascii="Times New Roman" w:eastAsia="Arial,Italic" w:hAnsi="Times New Roman" w:cs="Times New Roman"/>
          <w:sz w:val="24"/>
          <w:szCs w:val="24"/>
        </w:rPr>
        <w:t>. Регион ОРО Ханты-Мансийский автономный округ – Югра.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В период эксплуатации образование отходов не предвидится.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Для снижения воздействия отходов проектом предусмотрены следующие мероприятия: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851" w:hanging="142"/>
      </w:pPr>
      <w:r w:rsidRPr="0035514D">
        <w:t xml:space="preserve">на участке работ отходы собираются сразу в автомашину, увозятся на основную производственную базу, где временно хранятся на водонепроницаемой площадке; 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851" w:hanging="142"/>
      </w:pPr>
      <w:r w:rsidRPr="0035514D">
        <w:t>транспортировка отходов полигон ТБО будет производиться силами строительной организации по договору с владельцем полигона (свалки).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Установка контейнеров для мусора не требуется, так как строительный мусор и производственные отходы будут сразу же грузиться в автомобиль.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i/>
          <w:iCs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70" w:name="_Toc66653112"/>
      <w:r w:rsidRPr="0035514D">
        <w:t>8.6. Мероприятия по охране объектов растительного и животного мира</w:t>
      </w:r>
      <w:bookmarkEnd w:id="70"/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,Italic" w:hAnsi="Times New Roman" w:cs="Times New Roman"/>
          <w:iCs/>
          <w:sz w:val="24"/>
          <w:szCs w:val="24"/>
        </w:rPr>
      </w:pP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right"/>
        <w:rPr>
          <w:rFonts w:ascii="Times New Roman" w:eastAsia="Arial,Italic" w:hAnsi="Times New Roman" w:cs="Times New Roman"/>
          <w:iCs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iCs/>
          <w:sz w:val="24"/>
          <w:szCs w:val="24"/>
        </w:rPr>
        <w:t>Таблица № 8.6.1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Arial,Italic" w:hAnsi="Times New Roman" w:cs="Times New Roman"/>
          <w:iCs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iCs/>
          <w:sz w:val="24"/>
          <w:szCs w:val="24"/>
        </w:rPr>
        <w:t>Мероприятия по сохранению животного мира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,Italic" w:hAnsi="Times New Roman" w:cs="Times New Roman"/>
          <w:iCs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390"/>
        <w:gridCol w:w="4955"/>
      </w:tblGrid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Воздействие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Мероприятия</w:t>
            </w:r>
          </w:p>
        </w:tc>
      </w:tr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Изъятие местообитания – на время строительства изымается местообитание</w:t>
            </w:r>
          </w:p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беспозвоночных и позвоночных подземных животных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Восстановление местообитания путем</w:t>
            </w:r>
          </w:p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обратной засыпки траншеи грунтом</w:t>
            </w:r>
          </w:p>
        </w:tc>
      </w:tr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Изменение среды обитания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Так как воздействие незначительное специальных мероприятий не предусмотрено</w:t>
            </w:r>
          </w:p>
        </w:tc>
      </w:tr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Нарушение путей миграции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Так как строительство непродолжительное</w:t>
            </w:r>
          </w:p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 xml:space="preserve">короткими захватами с полным завершением работ; газопровод подземный; ограждения никакие не возводятся во время эксплуатации, соответственно, пути миграции восстанавливаются. </w:t>
            </w:r>
          </w:p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Специальных мероприятий не предусматривается</w:t>
            </w:r>
          </w:p>
        </w:tc>
      </w:tr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Подрыв кормовой базы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Так как воздействие незначительное специальных мероприятий не предусмотрено</w:t>
            </w:r>
          </w:p>
        </w:tc>
      </w:tr>
      <w:tr w:rsidR="0035514D" w:rsidRPr="0035514D" w:rsidTr="00224614">
        <w:tc>
          <w:tcPr>
            <w:tcW w:w="4390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Шумовое и вибрационное беспокойство</w:t>
            </w:r>
          </w:p>
        </w:tc>
        <w:tc>
          <w:tcPr>
            <w:tcW w:w="4955" w:type="dxa"/>
          </w:tcPr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Так как воздействие кратковременное</w:t>
            </w:r>
          </w:p>
          <w:p w:rsidR="0035514D" w:rsidRPr="0035514D" w:rsidRDefault="0035514D" w:rsidP="0035514D">
            <w:pPr>
              <w:jc w:val="both"/>
              <w:rPr>
                <w:rFonts w:eastAsia="Arial,Italic"/>
                <w:sz w:val="24"/>
                <w:szCs w:val="24"/>
              </w:rPr>
            </w:pPr>
            <w:r w:rsidRPr="0035514D">
              <w:rPr>
                <w:rFonts w:eastAsia="Arial,Italic"/>
                <w:sz w:val="24"/>
                <w:szCs w:val="24"/>
              </w:rPr>
              <w:t>специальных мероприятий не предусмотрено</w:t>
            </w:r>
          </w:p>
        </w:tc>
      </w:tr>
    </w:tbl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,Italic" w:hAnsi="Times New Roman" w:cs="Times New Roman"/>
          <w:iCs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 xml:space="preserve">Строительные работы и последующая эксплуатация будут осуществляться в границах отведенной площадки, что должно ограничить негативное воздействие на растительный и животный мир прилегающей территории.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Строительство будет кратковременным, а заглубление имеет незначительную площадь и глубину заложения. Последующая эксплуатация в соответствии с принятыми проектными решениями не вызовет необратимого нарушения условий обитания биологических видов прилегающей территории, не приведет к деградации растительных и животных компонентов биогеоценоза прилегающих территорий.</w:t>
      </w:r>
    </w:p>
    <w:p w:rsid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7C281A" w:rsidRDefault="007C281A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7C281A" w:rsidRPr="0035514D" w:rsidRDefault="007C281A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71" w:name="_Toc66653113"/>
      <w:r w:rsidRPr="0035514D">
        <w:lastRenderedPageBreak/>
        <w:t>8.7. Мероприятия по сохранению среды обитания животных, путей их миграции, доступа в нерестилища рыб</w:t>
      </w:r>
      <w:bookmarkEnd w:id="71"/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35514D">
        <w:rPr>
          <w:rFonts w:ascii="Times New Roman" w:eastAsia="Arial,Italic" w:hAnsi="Times New Roman" w:cs="Times New Roman"/>
          <w:sz w:val="24"/>
          <w:szCs w:val="24"/>
        </w:rPr>
        <w:t>После строительства нарушенная территория будет восстановлена. Будет произведена обратная засыпка, выравнивание рельефа в соответствии с прилегающей территорией.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Мероприятиями по данному пункту являются: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− соблюдение правил обращения с отходами при строительстве;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− уборка строительного мусора при окончании строительства.</w:t>
      </w:r>
      <w:bookmarkStart w:id="72" w:name="_Toc9070754"/>
      <w:bookmarkStart w:id="73" w:name="_Toc58490214"/>
    </w:p>
    <w:p w:rsidR="0035514D" w:rsidRPr="0035514D" w:rsidRDefault="0035514D" w:rsidP="009241C5">
      <w:pPr>
        <w:pStyle w:val="1"/>
      </w:pPr>
      <w:bookmarkStart w:id="74" w:name="_Toc66653114"/>
      <w:r w:rsidRPr="0035514D">
        <w:rPr>
          <w:spacing w:val="-2"/>
        </w:rPr>
        <w:t xml:space="preserve">9. </w:t>
      </w:r>
      <w:r w:rsidRPr="0035514D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обороне.</w:t>
      </w:r>
      <w:bookmarkEnd w:id="72"/>
      <w:bookmarkEnd w:id="73"/>
      <w:bookmarkEnd w:id="74"/>
    </w:p>
    <w:p w:rsidR="0035514D" w:rsidRDefault="0035514D" w:rsidP="0035514D">
      <w:pPr>
        <w:pStyle w:val="2"/>
      </w:pPr>
      <w:bookmarkStart w:id="75" w:name="_Toc66653115"/>
    </w:p>
    <w:p w:rsidR="0035514D" w:rsidRPr="0035514D" w:rsidRDefault="0035514D" w:rsidP="0035514D">
      <w:pPr>
        <w:pStyle w:val="2"/>
      </w:pPr>
      <w:r w:rsidRPr="0035514D">
        <w:t>9.1. Перечень мероприятий по предупреждению чрезвычайных ситуаций природного и техногенного характера</w:t>
      </w:r>
      <w:bookmarkEnd w:id="75"/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>Природная чрезвычайная ситуация – обстановка на определенной территории или акватории, сложившаяся в результате возникновения источника природной ЧС, который может повлечь или повлек за собой человеческие жертвы, ущерб здоровью людей и (или) окружающей природной среде, значительные материальные потери и нарушение условий жизнедеятельности людей (ГОСТ Р 22.0.03-95, п.3.1.1.).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 xml:space="preserve">В соответствии с картой сейсмического районирования ОСР-2015 (СП 14.13330.2014) участок работ приурочен к району, сейсмичность которого 5 баллов, удален от очагов землетрясения. Район работ не </w:t>
      </w:r>
      <w:proofErr w:type="spellStart"/>
      <w:r w:rsidRPr="0035514D">
        <w:rPr>
          <w:rFonts w:ascii="Times New Roman" w:hAnsi="Times New Roman" w:cs="Times New Roman"/>
          <w:iCs/>
          <w:sz w:val="24"/>
          <w:szCs w:val="24"/>
        </w:rPr>
        <w:t>сейсмичен</w:t>
      </w:r>
      <w:proofErr w:type="spellEnd"/>
      <w:r w:rsidRPr="0035514D">
        <w:rPr>
          <w:rFonts w:ascii="Times New Roman" w:hAnsi="Times New Roman" w:cs="Times New Roman"/>
          <w:iCs/>
          <w:sz w:val="24"/>
          <w:szCs w:val="24"/>
        </w:rPr>
        <w:t xml:space="preserve"> и требования СП 14.13330.2014 при проектировании зданий и сооружений не применяются.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>Мониторинг опасных природных процессов осуществляется соответствующими службами Ханты-Мансийского автономному округу. Проектной документацией не предусматривается создание собственных систем мониторинга опасных природных процессов. Оповещение об ожидаемых опасных природных процессах и чрезвычайных ситуациях природного характера осуществляется территориальным управлением Росгидромета или Главным управлением МЧС России по Ханты-Мансийскому автономному округу в общей системе оповещения о ЧС.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 Основным авариям, которые могут возникнуть на проектируемом объекте, относятся горение и взрывы.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  <w:u w:val="single"/>
        </w:rPr>
        <w:t>Взрывом</w:t>
      </w:r>
      <w:r w:rsidRPr="0035514D">
        <w:rPr>
          <w:rFonts w:ascii="Times New Roman" w:hAnsi="Times New Roman" w:cs="Times New Roman"/>
          <w:sz w:val="24"/>
          <w:szCs w:val="24"/>
        </w:rPr>
        <w:t xml:space="preserve"> называют очень быстрое превращение потенциальной энергии в кинетическую, связанное с внезапным изменением состояния вещества, при котором переход энергии из потенциальной в кинетическую сопровождается, как правило, резким повышением давления, образованием ударной волны и совершением механической работы.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В общем случае взрыв похож на горение обычных горючих, но отличается тем, что процесс происходит очень быстро, в тысячные и десятитысячные доли секунды. По скорости превращения взрыв делят на два типа - горение и детонация.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 xml:space="preserve">При взрывчатом превращении типа горения, передача энергии от одного слоя вещества к другому происходит путем теплопроводности. Взрыв типа горения характерен для пороха. Процесс образования газов происходит достаточно медленно.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sz w:val="24"/>
          <w:szCs w:val="24"/>
        </w:rPr>
        <w:t>При взрыве типа детонации процесс передачи энергии обуславливается прохождением ударной волны по взрывчатому веществу со сверхзвуковой скоростью (6 - 7 тыс. м /сек.). В этом случае газы образуются очень быстро, давление возрастает мгновенно до очень больших величин. Данный тип взрыва характерен для взрывчатых веществ на основе аммиачной селитры.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Для того, чтобы начался процесс взрыва (далее он развивается самопроизвольно) необходимо внешнее воздействие, требуется подать на взрывчатое вещество определенное количество энергии. Внешние воздействия могут быть следующих типов: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- механическое (удар, </w:t>
      </w:r>
      <w:proofErr w:type="spellStart"/>
      <w:r w:rsidRPr="0035514D">
        <w:rPr>
          <w:iCs/>
        </w:rPr>
        <w:t>накол</w:t>
      </w:r>
      <w:proofErr w:type="spellEnd"/>
      <w:r w:rsidRPr="0035514D">
        <w:rPr>
          <w:iCs/>
        </w:rPr>
        <w:t xml:space="preserve">, трение);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- тепловое (искра, пламя, нагревание);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- химическое (химическая реакция взаимодействия какого-либо вещества со </w:t>
      </w:r>
      <w:proofErr w:type="spellStart"/>
      <w:r w:rsidRPr="0035514D">
        <w:rPr>
          <w:iCs/>
        </w:rPr>
        <w:t>зрывчатым</w:t>
      </w:r>
      <w:proofErr w:type="spellEnd"/>
      <w:r w:rsidRPr="0035514D">
        <w:rPr>
          <w:iCs/>
        </w:rPr>
        <w:t xml:space="preserve"> веществом);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- детонационное (взрыв рядом со взрывчатым веществом другого взрывчатого вещества).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>При всех возможных авариях, связанных с детонацией газа, здания и сооружения на проектируемом объекте, а также коммуникации, будут повреждены или разрушены. Сторонних объектов, пострадавших от действия поражающих факторов рассмотренных аварий не прогнозируется.</w:t>
      </w:r>
    </w:p>
    <w:p w:rsidR="0035514D" w:rsidRPr="0035514D" w:rsidRDefault="0035514D" w:rsidP="0035514D">
      <w:pPr>
        <w:pStyle w:val="Default"/>
        <w:ind w:firstLine="709"/>
        <w:jc w:val="both"/>
      </w:pPr>
    </w:p>
    <w:p w:rsidR="0035514D" w:rsidRPr="0035514D" w:rsidRDefault="0035514D" w:rsidP="0035514D">
      <w:pPr>
        <w:pStyle w:val="2"/>
      </w:pPr>
      <w:bookmarkStart w:id="76" w:name="_Toc66653116"/>
      <w:r w:rsidRPr="0035514D">
        <w:t xml:space="preserve">9.2. Решения по обеспечению </w:t>
      </w:r>
      <w:proofErr w:type="spellStart"/>
      <w:r w:rsidRPr="0035514D">
        <w:t>взрывопожаробезопасности</w:t>
      </w:r>
      <w:bookmarkEnd w:id="76"/>
      <w:proofErr w:type="spellEnd"/>
      <w:r w:rsidRPr="0035514D">
        <w:t xml:space="preserve"> </w:t>
      </w:r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 xml:space="preserve">Пожарная безопасность объекта обеспечивается системой предотвращения пожара, системой противопожарной защиты и системой организационно-технических мероприятий. Противопожарные мероприятия отработаны отдельным разделом проектной документации «Мероприятия по обеспечению пожарной безопасности» (ПРО-2019-011-01-ПБ).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 xml:space="preserve">Пожарная безопасность проектируемого объекта достигается за счет применения конструкций и материалов, имеющих необходимый предел огнестойкости, прошедших сертификацию в области пожарной безопасности; применением инженерного оборудования, снижающего угрозу возникновения пожара и предотвращающего распространение пожара.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Строительные конструкции проектируемого линейного объекта представлены свайными фундаментами под опоры газопровода. Все строительные конструкции запроектированы из негорючих материалов: стальных труб и стального проката.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Предел огнестойкости строительных конструкций – R15. </w:t>
      </w:r>
    </w:p>
    <w:p w:rsid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>Класс функциональной пожарной опасности - К0.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14D" w:rsidRPr="0035514D" w:rsidRDefault="0035514D" w:rsidP="0035514D">
      <w:pPr>
        <w:pStyle w:val="2"/>
      </w:pPr>
      <w:bookmarkStart w:id="77" w:name="_Toc66653117"/>
      <w:r w:rsidRPr="0035514D">
        <w:t>9.3. Перечень мероприятий по гражданской обороне</w:t>
      </w:r>
      <w:bookmarkEnd w:id="77"/>
    </w:p>
    <w:p w:rsid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Участок проектирования находится вне зоны возможных слабых разрушений города, отнесенного к группе и вне </w:t>
      </w:r>
      <w:proofErr w:type="spellStart"/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>зоные</w:t>
      </w:r>
      <w:proofErr w:type="spellEnd"/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возможного сильного радиоактивного и химического заражения (загрязнения) города, отнесенного к группе ГО.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Согласно положений СП 165.1325800.2014 «Инженерно-технические мероприятия гражданской обороны» объекты расположены в пределах зоны возможного затопления в случае аварии на гидротехническом сооружении.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Проектируемый объект расположен на территории Ханты-Мансийского автономного округа, который в соответствии с ГОСТ 55201-2012 п. 3.15 не входит в зону световой маскировки.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Планируемые решения по светомаскировочным мероприятиям на проектируемом объекте соответствуют требованиям СП 264.1325800.2016 и СП 165.1325800.2014.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Проектом предусмотрено централизованное отключение наружного освещения. Специальные технические решения по светомаскировке не предусматриваются.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lastRenderedPageBreak/>
        <w:t xml:space="preserve">В соответствии с СП 264.1325800.2016 «Световая маскировка населенных пунктов и объектов народного хозяйства» на объекте предусмотрены организационные мероприятия по обеспечению светомаскировки, которые включают: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подготовку работников отдела главного энергетика к работе по управлению электроосвещением;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организацию дежурства в темное время суток на пункте отключения наружного и внутреннего освещения; </w:t>
      </w:r>
    </w:p>
    <w:p w:rsidR="0035514D" w:rsidRPr="0035514D" w:rsidRDefault="0035514D" w:rsidP="003551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35514D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35514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разработку организационных мероприятий по светомаскировке с целью сведения до минимума демаскирующего светового излучения.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  <w:u w:val="single"/>
        </w:rPr>
      </w:pPr>
      <w:r w:rsidRPr="0035514D">
        <w:rPr>
          <w:iCs/>
          <w:u w:val="single"/>
        </w:rPr>
        <w:t xml:space="preserve">Система оповещения по ГО существующая в местах постоянного пребывания персонала.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 xml:space="preserve">Органы исполнительной власти во взаимодействии с Главным управлением МЧС России по Ханты-Мансийскому автономному округу оповещают через ЕДДС дежурных диспетчеров предприятий, которые по своим каналам связи оповещают руководителей ведомств, предприятий для принятия решений - по телефону через аппаратуру циркулярного вызова.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 xml:space="preserve">Оповещение проводится органами исполнительной власти во взаимодействии с Главным управлением МЧС РФ в общей системе оповещения населения подачей сигнала «Внимание Всем!», включением </w:t>
      </w:r>
      <w:proofErr w:type="spellStart"/>
      <w:r w:rsidRPr="0035514D">
        <w:rPr>
          <w:iCs/>
        </w:rPr>
        <w:t>электросирен</w:t>
      </w:r>
      <w:proofErr w:type="spellEnd"/>
      <w:r w:rsidRPr="0035514D">
        <w:rPr>
          <w:iCs/>
        </w:rPr>
        <w:t xml:space="preserve"> и передачей речевого сообщения о воздушной тревоге по радио и телевидению.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 xml:space="preserve">Система оповещения является единой системой передачи команд и руководящих указаний для обслуживающего персонала в нормальных эксплуатационных условиях и в аварийных ситуациях. Это основная система, служащая для оповещения персонала звуковыми и световыми предупредительными сигналами, и экстренными речевыми сообщениями о возникновении опасности. По сигналу персонал должен немедленно включить радиотрансляционные приемники для прослушивания экстренного сообщения ГУ МЧС России по Ханты-Мансийскому автономному округу.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 xml:space="preserve">В чрезвычайных ситуациях основным способом доведения сигналов гражданской обороны до людей, находящихся на территории объекта, является передача речевой информации по радиотрансляционным сетям и сетям связи.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Для передачи сигналов оповещения ГО автоматизированным способом при внезапном нападении противника в соответствии с совместным приказом МЧС России, Минсвязи России и Минкультуры России от 25 июля 2006 года N 422/90/376 «Об утверждении Положения о системах оповещения населения» предусмотрено использование сети радиовещания, организационно и технически сопряженной с региональной системой оповещения населения </w:t>
      </w: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</w:p>
    <w:p w:rsidR="0035514D" w:rsidRPr="0035514D" w:rsidRDefault="0035514D" w:rsidP="0035514D">
      <w:pPr>
        <w:pStyle w:val="Default"/>
        <w:ind w:firstLine="709"/>
        <w:jc w:val="both"/>
        <w:rPr>
          <w:iCs/>
        </w:rPr>
      </w:pPr>
      <w:r w:rsidRPr="0035514D">
        <w:rPr>
          <w:iCs/>
        </w:rPr>
        <w:t>Проектируемый объект находится вне зон возможного радиоактивного загрязнения, согласно зонированию по СП 165.1325800.2014 г. Обоснование введения режимов радиационной защиты на территории объекта не предусматривается. В случае радиоактивного загрязнения предприятие прекращает свою работу.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Мероприятия по повышению эффективности защиты производственных фондов проектируемого объекта при воздействии по ним современных средств поражения не предусматриваются, так как проектируемый объект не имеет категории по гражданской обороне.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Одним из условий устойчивого функционирования в военное время объектов инженерной инфраструктуры, является заблаговременное проведение мероприятий по защите основных фондов от воздействия по ним современных средств поражения. </w:t>
      </w:r>
    </w:p>
    <w:p w:rsidR="0035514D" w:rsidRPr="0035514D" w:rsidRDefault="0035514D" w:rsidP="0035514D">
      <w:pPr>
        <w:pStyle w:val="Default"/>
        <w:ind w:firstLine="709"/>
        <w:jc w:val="both"/>
      </w:pPr>
      <w:r w:rsidRPr="0035514D">
        <w:rPr>
          <w:iCs/>
        </w:rPr>
        <w:t xml:space="preserve">Защита основных фондов проектируемого объекта от воздействия современных средств поражения (ядерного оружия) достигается: 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851" w:hanging="142"/>
      </w:pPr>
      <w:r w:rsidRPr="0035514D">
        <w:lastRenderedPageBreak/>
        <w:t xml:space="preserve">обеспечение противопожарных разрывов и расстояний между зданиями и сооружениями; 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851" w:hanging="142"/>
      </w:pPr>
      <w:r w:rsidRPr="0035514D">
        <w:t xml:space="preserve">применением средств светомаскировки; </w:t>
      </w:r>
    </w:p>
    <w:p w:rsidR="0035514D" w:rsidRPr="0035514D" w:rsidRDefault="0035514D" w:rsidP="0035514D">
      <w:pPr>
        <w:pStyle w:val="a"/>
        <w:numPr>
          <w:ilvl w:val="0"/>
          <w:numId w:val="3"/>
        </w:numPr>
        <w:ind w:left="851" w:hanging="142"/>
      </w:pPr>
      <w:r w:rsidRPr="0035514D">
        <w:t xml:space="preserve">применением технологий, конструкций сооружений и оборудования, обеспечивающих возможность восстановления функционирования объекта в минимально возможные сроки; 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5514D">
        <w:rPr>
          <w:rFonts w:ascii="Times New Roman" w:hAnsi="Times New Roman" w:cs="Times New Roman"/>
          <w:iCs/>
          <w:sz w:val="24"/>
          <w:szCs w:val="24"/>
        </w:rPr>
        <w:t>Так как предприятие прекращает свою деятельность в военное время, мероприятий по повышению устойчивости функционирования объектов при воздействии по ним современных средств поражения не предусматривается.</w:t>
      </w:r>
    </w:p>
    <w:p w:rsidR="0035514D" w:rsidRPr="0035514D" w:rsidRDefault="0035514D" w:rsidP="0035514D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241C5" w:rsidRDefault="009241C5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9820DB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9820DB">
        <w:rPr>
          <w:rFonts w:ascii="Times New Roman" w:hAnsi="Times New Roman" w:cs="Times New Roman"/>
          <w:sz w:val="24"/>
          <w:szCs w:val="24"/>
        </w:rPr>
        <w:t xml:space="preserve"> приказу департамента строительства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9820DB">
        <w:rPr>
          <w:rFonts w:ascii="Times New Roman" w:hAnsi="Times New Roman" w:cs="Times New Roman"/>
          <w:sz w:val="24"/>
          <w:szCs w:val="24"/>
        </w:rPr>
        <w:t>архитектуры</w:t>
      </w:r>
      <w:proofErr w:type="gramEnd"/>
      <w:r w:rsidRPr="009820DB">
        <w:rPr>
          <w:rFonts w:ascii="Times New Roman" w:hAnsi="Times New Roman" w:cs="Times New Roman"/>
          <w:sz w:val="24"/>
          <w:szCs w:val="24"/>
        </w:rPr>
        <w:t xml:space="preserve"> и ЖКХ </w:t>
      </w:r>
    </w:p>
    <w:p w:rsidR="00520AB8" w:rsidRPr="009820DB" w:rsidRDefault="00520AB8" w:rsidP="00520AB8">
      <w:pPr>
        <w:spacing w:after="0" w:line="240" w:lineRule="auto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 w:rsidRPr="00084A11">
        <w:rPr>
          <w:rFonts w:ascii="Times New Roman" w:hAnsi="Times New Roman" w:cs="Times New Roman"/>
          <w:sz w:val="24"/>
          <w:szCs w:val="24"/>
        </w:rPr>
        <w:t>от 21.04.2021   №</w:t>
      </w:r>
      <w:r>
        <w:rPr>
          <w:rFonts w:ascii="Times New Roman" w:hAnsi="Times New Roman" w:cs="Times New Roman"/>
          <w:sz w:val="24"/>
          <w:szCs w:val="24"/>
        </w:rPr>
        <w:t>108</w:t>
      </w:r>
      <w:bookmarkStart w:id="78" w:name="_GoBack"/>
      <w:bookmarkEnd w:id="78"/>
      <w:r w:rsidRPr="00084A11">
        <w:rPr>
          <w:rFonts w:ascii="Times New Roman" w:hAnsi="Times New Roman" w:cs="Times New Roman"/>
          <w:sz w:val="24"/>
          <w:szCs w:val="24"/>
        </w:rPr>
        <w:t>-н</w:t>
      </w:r>
    </w:p>
    <w:p w:rsidR="00CA4935" w:rsidRDefault="00CA4935" w:rsidP="000832E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t>Документация по планировке территории для размещения объекта: «Электростанции на базе газопоршневых генераторных установок для электроснабжения объектов нефтедобычи на приобском месторождении ООО «</w:t>
      </w:r>
      <w:proofErr w:type="spellStart"/>
      <w:r w:rsidRPr="00CA4935">
        <w:rPr>
          <w:rFonts w:ascii="Times New Roman" w:hAnsi="Times New Roman" w:cs="Times New Roman"/>
          <w:b/>
          <w:sz w:val="24"/>
          <w:szCs w:val="24"/>
        </w:rPr>
        <w:t>Газпромнефть-Хантос</w:t>
      </w:r>
      <w:proofErr w:type="spellEnd"/>
      <w:r w:rsidRPr="00CA4935">
        <w:rPr>
          <w:rFonts w:ascii="Times New Roman" w:hAnsi="Times New Roman" w:cs="Times New Roman"/>
          <w:b/>
          <w:sz w:val="24"/>
          <w:szCs w:val="24"/>
        </w:rPr>
        <w:t xml:space="preserve">» Газопровод-отвод от точки врезки в газопровод «ЮП ГПЗ» до ГПЭС ПО </w:t>
      </w:r>
      <w:proofErr w:type="spellStart"/>
      <w:r w:rsidRPr="00CA4935">
        <w:rPr>
          <w:rFonts w:ascii="Times New Roman" w:hAnsi="Times New Roman" w:cs="Times New Roman"/>
          <w:b/>
          <w:sz w:val="24"/>
          <w:szCs w:val="24"/>
        </w:rPr>
        <w:t>Энергоцентра</w:t>
      </w:r>
      <w:proofErr w:type="spellEnd"/>
      <w:r w:rsidRPr="00CA4935">
        <w:rPr>
          <w:rFonts w:ascii="Times New Roman" w:hAnsi="Times New Roman" w:cs="Times New Roman"/>
          <w:b/>
          <w:sz w:val="24"/>
          <w:szCs w:val="24"/>
        </w:rPr>
        <w:t xml:space="preserve"> №1»</w:t>
      </w:r>
    </w:p>
    <w:p w:rsid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t>Основная часть проекта межевания территории</w:t>
      </w:r>
    </w:p>
    <w:p w:rsidR="009241C5" w:rsidRDefault="009241C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-528678</wp:posOffset>
            </wp:positionH>
            <wp:positionV relativeFrom="paragraph">
              <wp:posOffset>208442</wp:posOffset>
            </wp:positionV>
            <wp:extent cx="6697482" cy="5635256"/>
            <wp:effectExtent l="0" t="0" r="8255" b="3810"/>
            <wp:wrapNone/>
            <wp:docPr id="6" name="Рисунок 6" descr="C:\Моя\Работа\Прогресс Паритет\ПРОЕКТ ЭЦ2\Новая папка (2)\Untitle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я\Работа\Прогресс Паритет\ПРОЕКТ ЭЦ2\Новая папка (2)\Untitled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0" t="43833" r="5792" b="2534"/>
                    <a:stretch/>
                  </pic:blipFill>
                  <pic:spPr bwMode="auto">
                    <a:xfrm>
                      <a:off x="0" y="0"/>
                      <a:ext cx="6704995" cy="564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41C5" w:rsidRPr="00CA4935" w:rsidRDefault="009241C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t>Проект межевания территории. Текстовая часть</w:t>
      </w:r>
    </w:p>
    <w:p w:rsidR="009241C5" w:rsidRPr="009241C5" w:rsidRDefault="009241C5" w:rsidP="009241C5">
      <w:pPr>
        <w:pStyle w:val="1"/>
      </w:pPr>
      <w:bookmarkStart w:id="79" w:name="_Toc58445164"/>
      <w:bookmarkStart w:id="80" w:name="_Toc66346967"/>
      <w:r w:rsidRPr="009241C5">
        <w:t>1. Перечень образуемых земельных участков.</w:t>
      </w:r>
      <w:bookmarkEnd w:id="79"/>
      <w:bookmarkEnd w:id="80"/>
    </w:p>
    <w:p w:rsidR="009241C5" w:rsidRDefault="009241C5" w:rsidP="009241C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241C5" w:rsidRPr="009241C5" w:rsidRDefault="009241C5" w:rsidP="009241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В рамках настоящего проекта межевания территории не предусмотрено образование земельных участков, также в границах разработки проекта межевания территории отсутствуют земельные участки, в отношении которых предполагаются резервирование и (или) изъятие для государственных или муниципальных нужд.</w:t>
      </w:r>
    </w:p>
    <w:p w:rsidR="009241C5" w:rsidRPr="009241C5" w:rsidRDefault="009241C5" w:rsidP="009241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В рамках разработки проекта межевания территории не предусмотрено образование сервитута, публичного сервитута.</w:t>
      </w:r>
    </w:p>
    <w:p w:rsidR="009241C5" w:rsidRPr="009241C5" w:rsidRDefault="009241C5" w:rsidP="009241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Для размещения линейного объекта ООО «</w:t>
      </w:r>
      <w:proofErr w:type="spellStart"/>
      <w:r w:rsidRPr="009241C5">
        <w:rPr>
          <w:rFonts w:ascii="Times New Roman" w:hAnsi="Times New Roman" w:cs="Times New Roman"/>
          <w:sz w:val="24"/>
          <w:szCs w:val="24"/>
        </w:rPr>
        <w:t>Аггреко</w:t>
      </w:r>
      <w:proofErr w:type="spellEnd"/>
      <w:r w:rsidRPr="009241C5">
        <w:rPr>
          <w:rFonts w:ascii="Times New Roman" w:hAnsi="Times New Roman" w:cs="Times New Roman"/>
          <w:sz w:val="24"/>
          <w:szCs w:val="24"/>
        </w:rPr>
        <w:t xml:space="preserve"> Евразия» заключили соглашение об установлении сервитута в отношении земельного участка 86:02:1401001:1826 (с номером в лесном реестре: 86/09/010/2014-08/00197) с ООО «</w:t>
      </w:r>
      <w:proofErr w:type="spellStart"/>
      <w:r w:rsidRPr="009241C5">
        <w:rPr>
          <w:rFonts w:ascii="Times New Roman" w:hAnsi="Times New Roman" w:cs="Times New Roman"/>
          <w:sz w:val="24"/>
          <w:szCs w:val="24"/>
        </w:rPr>
        <w:t>Газпромнефть-Хантос</w:t>
      </w:r>
      <w:proofErr w:type="spellEnd"/>
      <w:r w:rsidRPr="009241C5">
        <w:rPr>
          <w:rFonts w:ascii="Times New Roman" w:hAnsi="Times New Roman" w:cs="Times New Roman"/>
          <w:sz w:val="24"/>
          <w:szCs w:val="24"/>
        </w:rPr>
        <w:t xml:space="preserve">» (право аренды на основании договора аренды земельного участка от 11.08.2014 г. №0153/14-10-ДА, заключенного сроком до 18.01.2038 г.). </w:t>
      </w:r>
    </w:p>
    <w:p w:rsidR="009241C5" w:rsidRDefault="009241C5" w:rsidP="009241C5">
      <w:pPr>
        <w:pStyle w:val="1"/>
      </w:pPr>
      <w:bookmarkStart w:id="81" w:name="_Toc58445167"/>
      <w:bookmarkStart w:id="82" w:name="_Toc66346968"/>
    </w:p>
    <w:p w:rsidR="009241C5" w:rsidRDefault="009241C5" w:rsidP="009241C5">
      <w:pPr>
        <w:pStyle w:val="1"/>
      </w:pPr>
      <w:r w:rsidRPr="009241C5">
        <w:t>2. 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</w:t>
      </w:r>
      <w:bookmarkEnd w:id="81"/>
      <w:bookmarkEnd w:id="82"/>
    </w:p>
    <w:p w:rsidR="009241C5" w:rsidRDefault="009241C5" w:rsidP="009241C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241C5" w:rsidRPr="009241C5" w:rsidRDefault="009241C5" w:rsidP="009241C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Граница проекта межевания территории располагается на межселенной территории Ханты-Мансийского автономного округа Тюменской области.</w:t>
      </w:r>
    </w:p>
    <w:p w:rsidR="009241C5" w:rsidRPr="009241C5" w:rsidRDefault="009241C5" w:rsidP="009241C5">
      <w:pPr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Таблица № 2.1</w:t>
      </w:r>
    </w:p>
    <w:p w:rsidR="009241C5" w:rsidRDefault="009241C5" w:rsidP="009241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Перечень координат характерных точек границ проекта межевания</w:t>
      </w:r>
    </w:p>
    <w:p w:rsidR="009241C5" w:rsidRDefault="009241C5" w:rsidP="009241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241C5">
        <w:rPr>
          <w:rFonts w:ascii="Times New Roman" w:hAnsi="Times New Roman" w:cs="Times New Roman"/>
          <w:sz w:val="24"/>
          <w:szCs w:val="24"/>
        </w:rPr>
        <w:t>(Система координат МСК 86)</w:t>
      </w:r>
    </w:p>
    <w:p w:rsidR="009241C5" w:rsidRPr="009241C5" w:rsidRDefault="009241C5" w:rsidP="009241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241C5" w:rsidRDefault="009241C5" w:rsidP="009241C5">
      <w:pPr>
        <w:spacing w:after="0"/>
        <w:ind w:left="-118" w:right="-65" w:firstLine="6"/>
        <w:jc w:val="center"/>
        <w:rPr>
          <w:rFonts w:ascii="Times New Roman" w:hAnsi="Times New Roman" w:cs="Times New Roman"/>
          <w:b/>
          <w:sz w:val="24"/>
          <w:szCs w:val="24"/>
        </w:rPr>
        <w:sectPr w:rsidR="009241C5" w:rsidSect="009241C5">
          <w:footerReference w:type="default" r:id="rId10"/>
          <w:headerReference w:type="first" r:id="rId11"/>
          <w:type w:val="continuous"/>
          <w:pgSz w:w="11906" w:h="16838"/>
          <w:pgMar w:top="720" w:right="850" w:bottom="1620" w:left="1701" w:header="340" w:footer="708" w:gutter="0"/>
          <w:cols w:space="708"/>
          <w:titlePg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4"/>
        <w:gridCol w:w="1594"/>
        <w:gridCol w:w="1735"/>
      </w:tblGrid>
      <w:tr w:rsidR="009241C5" w:rsidRPr="009241C5" w:rsidTr="00224614">
        <w:trPr>
          <w:trHeight w:val="255"/>
        </w:trPr>
        <w:tc>
          <w:tcPr>
            <w:tcW w:w="1141" w:type="pct"/>
            <w:vMerge w:val="restart"/>
            <w:vAlign w:val="center"/>
            <w:hideMark/>
          </w:tcPr>
          <w:p w:rsidR="009241C5" w:rsidRPr="009241C5" w:rsidRDefault="009241C5" w:rsidP="009241C5">
            <w:pPr>
              <w:spacing w:after="0"/>
              <w:ind w:left="-118" w:right="-65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Номер точки</w:t>
            </w:r>
          </w:p>
        </w:tc>
        <w:tc>
          <w:tcPr>
            <w:tcW w:w="3859" w:type="pct"/>
            <w:gridSpan w:val="2"/>
            <w:noWrap/>
            <w:vAlign w:val="center"/>
            <w:hideMark/>
          </w:tcPr>
          <w:p w:rsidR="009241C5" w:rsidRPr="009241C5" w:rsidRDefault="009241C5" w:rsidP="009241C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</w:t>
            </w:r>
          </w:p>
        </w:tc>
      </w:tr>
      <w:tr w:rsidR="009241C5" w:rsidRPr="009241C5" w:rsidTr="00224614">
        <w:trPr>
          <w:trHeight w:val="270"/>
        </w:trPr>
        <w:tc>
          <w:tcPr>
            <w:tcW w:w="1141" w:type="pct"/>
            <w:vMerge/>
            <w:vAlign w:val="center"/>
            <w:hideMark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8" w:type="pct"/>
            <w:noWrap/>
            <w:vAlign w:val="center"/>
            <w:hideMark/>
          </w:tcPr>
          <w:p w:rsidR="009241C5" w:rsidRPr="009241C5" w:rsidRDefault="009241C5" w:rsidP="009241C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2011" w:type="pct"/>
            <w:noWrap/>
            <w:vAlign w:val="center"/>
            <w:hideMark/>
          </w:tcPr>
          <w:p w:rsidR="009241C5" w:rsidRPr="009241C5" w:rsidRDefault="009241C5" w:rsidP="009241C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931093.56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2710311.84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931106.55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2710603.00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931108.07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2710618.73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931114.76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2710756.56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931128.81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2711084.67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931090.41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2711089.20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931107.32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2711177.24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931121.16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2711249.62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931138.56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2711247.75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931158.03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2711647.64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931083.24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2711650.68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931029.94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2711402.48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931017.76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2711137.30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931011.34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2710997.84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930972.14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2710999.46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930990.36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2711410.52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931000.78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2711654.29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931003.08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2711698.80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931005.66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2711748.68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931012.22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2712032.42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930924.64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2712071.24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930892.00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2711754.80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931004.62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2711748.72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931002.06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2711699.00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930999.78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2711654.34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930960.72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2711654.06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930876.34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2711427.48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930744.14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2711072.40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930748.18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2711068.50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930891.00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2710930.37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930894.35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2710731.97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930685.88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2710714.79</w:t>
            </w:r>
          </w:p>
        </w:tc>
      </w:tr>
      <w:tr w:rsidR="009241C5" w:rsidRPr="009241C5" w:rsidTr="00224614">
        <w:trPr>
          <w:trHeight w:val="255"/>
        </w:trPr>
        <w:tc>
          <w:tcPr>
            <w:tcW w:w="114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848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930685.11</w:t>
            </w:r>
          </w:p>
        </w:tc>
        <w:tc>
          <w:tcPr>
            <w:tcW w:w="2011" w:type="pct"/>
            <w:noWrap/>
            <w:vAlign w:val="bottom"/>
          </w:tcPr>
          <w:p w:rsidR="009241C5" w:rsidRPr="009241C5" w:rsidRDefault="009241C5" w:rsidP="009241C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2710429.55</w:t>
            </w:r>
          </w:p>
        </w:tc>
      </w:tr>
    </w:tbl>
    <w:p w:rsidR="009241C5" w:rsidRDefault="009241C5" w:rsidP="009241C5">
      <w:pPr>
        <w:pStyle w:val="1"/>
        <w:sectPr w:rsidR="009241C5" w:rsidSect="009241C5">
          <w:type w:val="continuous"/>
          <w:pgSz w:w="11906" w:h="16838"/>
          <w:pgMar w:top="720" w:right="850" w:bottom="1620" w:left="1701" w:header="340" w:footer="708" w:gutter="0"/>
          <w:cols w:num="2" w:space="708"/>
          <w:titlePg/>
          <w:docGrid w:linePitch="360"/>
        </w:sectPr>
      </w:pPr>
      <w:bookmarkStart w:id="83" w:name="_Toc58445168"/>
      <w:bookmarkStart w:id="84" w:name="_Toc66346969"/>
    </w:p>
    <w:p w:rsidR="009241C5" w:rsidRDefault="009241C5" w:rsidP="009241C5">
      <w:pPr>
        <w:pStyle w:val="1"/>
      </w:pPr>
    </w:p>
    <w:p w:rsidR="009241C5" w:rsidRDefault="009241C5" w:rsidP="009241C5">
      <w:pPr>
        <w:pStyle w:val="1"/>
      </w:pPr>
      <w:r w:rsidRPr="009241C5">
        <w:t>3.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83"/>
      <w:bookmarkEnd w:id="84"/>
    </w:p>
    <w:p w:rsidR="009241C5" w:rsidRPr="009241C5" w:rsidRDefault="009241C5" w:rsidP="009241C5">
      <w:pPr>
        <w:rPr>
          <w:lang w:eastAsia="ru-RU"/>
        </w:rPr>
      </w:pPr>
    </w:p>
    <w:tbl>
      <w:tblPr>
        <w:tblW w:w="51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0"/>
        <w:gridCol w:w="4110"/>
        <w:gridCol w:w="5105"/>
      </w:tblGrid>
      <w:tr w:rsidR="009241C5" w:rsidRPr="009241C5" w:rsidTr="00224614">
        <w:trPr>
          <w:cantSplit/>
          <w:trHeight w:val="579"/>
        </w:trPr>
        <w:tc>
          <w:tcPr>
            <w:tcW w:w="218" w:type="pct"/>
            <w:vAlign w:val="center"/>
          </w:tcPr>
          <w:p w:rsidR="009241C5" w:rsidRPr="009241C5" w:rsidRDefault="009241C5" w:rsidP="009241C5">
            <w:pPr>
              <w:ind w:left="-142" w:right="-101" w:firstLine="25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133" w:type="pct"/>
            <w:vAlign w:val="center"/>
            <w:hideMark/>
          </w:tcPr>
          <w:p w:rsidR="009241C5" w:rsidRPr="009241C5" w:rsidRDefault="009241C5" w:rsidP="009241C5">
            <w:pPr>
              <w:ind w:firstLine="2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color w:val="2D2D2D"/>
                <w:spacing w:val="2"/>
                <w:sz w:val="24"/>
                <w:szCs w:val="24"/>
              </w:rPr>
              <w:t>Существующие земельные участки, занятые линейными объектами</w:t>
            </w:r>
          </w:p>
        </w:tc>
        <w:tc>
          <w:tcPr>
            <w:tcW w:w="2649" w:type="pct"/>
            <w:vAlign w:val="center"/>
          </w:tcPr>
          <w:p w:rsidR="009241C5" w:rsidRPr="009241C5" w:rsidRDefault="009241C5" w:rsidP="009241C5">
            <w:pPr>
              <w:ind w:left="-95" w:firstLine="2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b/>
                <w:sz w:val="24"/>
                <w:szCs w:val="24"/>
              </w:rPr>
              <w:t>Вид разрешенного использования ЗУ</w:t>
            </w:r>
          </w:p>
        </w:tc>
      </w:tr>
      <w:tr w:rsidR="009241C5" w:rsidRPr="009241C5" w:rsidTr="00224614">
        <w:trPr>
          <w:cantSplit/>
          <w:trHeight w:val="765"/>
        </w:trPr>
        <w:tc>
          <w:tcPr>
            <w:tcW w:w="218" w:type="pct"/>
            <w:vAlign w:val="center"/>
          </w:tcPr>
          <w:p w:rsidR="009241C5" w:rsidRPr="009241C5" w:rsidRDefault="009241C5" w:rsidP="009241C5">
            <w:pPr>
              <w:ind w:left="-142" w:right="-101" w:firstLine="2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33" w:type="pct"/>
            <w:vAlign w:val="center"/>
          </w:tcPr>
          <w:p w:rsidR="009241C5" w:rsidRPr="009241C5" w:rsidRDefault="009241C5" w:rsidP="009241C5">
            <w:pPr>
              <w:ind w:left="-115" w:right="-143" w:firstLine="2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86:02:1401001:1826</w:t>
            </w:r>
          </w:p>
        </w:tc>
        <w:tc>
          <w:tcPr>
            <w:tcW w:w="2649" w:type="pct"/>
            <w:vAlign w:val="center"/>
          </w:tcPr>
          <w:p w:rsidR="009241C5" w:rsidRPr="009241C5" w:rsidRDefault="009241C5" w:rsidP="009241C5">
            <w:pPr>
              <w:ind w:left="-95" w:firstLine="2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41C5">
              <w:rPr>
                <w:rFonts w:ascii="Times New Roman" w:hAnsi="Times New Roman" w:cs="Times New Roman"/>
                <w:sz w:val="24"/>
                <w:szCs w:val="24"/>
              </w:rPr>
              <w:t>Строительство, реконструкция, эксплуатация линейных объектов, заготовка древесины</w:t>
            </w:r>
          </w:p>
        </w:tc>
      </w:tr>
    </w:tbl>
    <w:p w:rsidR="009241C5" w:rsidRPr="00CA4935" w:rsidRDefault="009241C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9241C5" w:rsidRPr="00CA4935" w:rsidSect="009241C5">
      <w:type w:val="continuous"/>
      <w:pgSz w:w="11906" w:h="16838"/>
      <w:pgMar w:top="720" w:right="850" w:bottom="1620" w:left="1701" w:header="34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04A9" w:rsidRDefault="009004A9" w:rsidP="004E2467">
      <w:pPr>
        <w:spacing w:after="0" w:line="240" w:lineRule="auto"/>
      </w:pPr>
      <w:r>
        <w:separator/>
      </w:r>
    </w:p>
  </w:endnote>
  <w:endnote w:type="continuationSeparator" w:id="0">
    <w:p w:rsidR="009004A9" w:rsidRDefault="009004A9" w:rsidP="004E24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OST Type AU">
    <w:altName w:val="Times New Roman"/>
    <w:panose1 w:val="02000306020200020003"/>
    <w:charset w:val="CC"/>
    <w:family w:val="auto"/>
    <w:pitch w:val="variable"/>
    <w:sig w:usb0="A000028F" w:usb1="1000004A" w:usb2="00000000" w:usb3="00000000" w:csb0="0000019F" w:csb1="00000000"/>
  </w:font>
  <w:font w:name="Arial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514D" w:rsidRDefault="0035514D" w:rsidP="00810370">
    <w:pPr>
      <w:pStyle w:val="a8"/>
      <w:tabs>
        <w:tab w:val="clear" w:pos="4153"/>
        <w:tab w:val="clear" w:pos="8306"/>
        <w:tab w:val="right" w:pos="9638"/>
      </w:tabs>
      <w:ind w:left="-1440" w:firstLine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 w:rsidP="00810370">
    <w:pPr>
      <w:pStyle w:val="a8"/>
      <w:tabs>
        <w:tab w:val="clear" w:pos="4153"/>
        <w:tab w:val="clear" w:pos="8306"/>
        <w:tab w:val="right" w:pos="9638"/>
      </w:tabs>
      <w:ind w:left="-1440" w:firstLine="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0901B5A7" wp14:editId="21A26D0F">
              <wp:simplePos x="0" y="0"/>
              <wp:positionH relativeFrom="page">
                <wp:posOffset>165735</wp:posOffset>
              </wp:positionH>
              <wp:positionV relativeFrom="page">
                <wp:posOffset>114300</wp:posOffset>
              </wp:positionV>
              <wp:extent cx="7919720" cy="11160125"/>
              <wp:effectExtent l="3810" t="0" r="1270" b="3175"/>
              <wp:wrapNone/>
              <wp:docPr id="7" name="Надпись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919720" cy="111601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A4935" w:rsidRPr="00596B42" w:rsidRDefault="00CA4935" w:rsidP="00810370">
                          <w:pPr>
                            <w:ind w:right="1560"/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36000" tIns="36000" rIns="36000" bIns="36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shapetype w14:anchorId="0901B5A7" id="_x0000_t202" coordsize="21600,21600" o:spt="202" path="m,l,21600r21600,l21600,xe">
              <v:stroke joinstyle="miter"/>
              <v:path gradientshapeok="t" o:connecttype="rect"/>
            </v:shapetype>
            <v:shape id="Надпись 7" o:spid="_x0000_s1026" type="#_x0000_t202" style="position:absolute;left:0;text-align:left;margin-left:13.05pt;margin-top:9pt;width:623.6pt;height:878.7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" stroked="f">
              <o:lock v:ext="edit" aspectratio="t"/>
              <v:textbox inset="1mm,1mm,1mm,1mm">
                <w:txbxContent>
                  <w:p w:rsidR="00CA4935" w:rsidRPr="00596B42" w:rsidRDefault="00CA4935" w:rsidP="00810370">
                    <w:pPr>
                      <w:ind w:right="1560"/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04A9" w:rsidRDefault="009004A9" w:rsidP="004E2467">
      <w:pPr>
        <w:spacing w:after="0" w:line="240" w:lineRule="auto"/>
      </w:pPr>
      <w:r>
        <w:separator/>
      </w:r>
    </w:p>
  </w:footnote>
  <w:footnote w:type="continuationSeparator" w:id="0">
    <w:p w:rsidR="009004A9" w:rsidRDefault="009004A9" w:rsidP="004E24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465A47A8"/>
    <w:lvl w:ilvl="0">
      <w:start w:val="1"/>
      <w:numFmt w:val="none"/>
      <w:lvlText w:val=""/>
      <w:lvlJc w:val="left"/>
      <w:pPr>
        <w:tabs>
          <w:tab w:val="num" w:pos="432"/>
        </w:tabs>
        <w:ind w:left="0" w:firstLine="0"/>
      </w:pPr>
    </w:lvl>
    <w:lvl w:ilvl="1">
      <w:start w:val="1"/>
      <w:numFmt w:val="none"/>
      <w:pStyle w:val="2"/>
      <w:lvlText w:val=""/>
      <w:lvlJc w:val="left"/>
      <w:pPr>
        <w:tabs>
          <w:tab w:val="num" w:pos="576"/>
        </w:tabs>
        <w:ind w:left="0" w:firstLine="0"/>
      </w:pPr>
    </w:lvl>
    <w:lvl w:ilvl="2">
      <w:start w:val="1"/>
      <w:numFmt w:val="none"/>
      <w:pStyle w:val="3"/>
      <w:lvlText w:val=""/>
      <w:lvlJc w:val="left"/>
      <w:pPr>
        <w:tabs>
          <w:tab w:val="num" w:pos="72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0" w:firstLine="0"/>
      </w:pPr>
    </w:lvl>
  </w:abstractNum>
  <w:abstractNum w:abstractNumId="1">
    <w:nsid w:val="15CC6DFB"/>
    <w:multiLevelType w:val="hybridMultilevel"/>
    <w:tmpl w:val="944236B8"/>
    <w:lvl w:ilvl="0" w:tplc="806E76DA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7A665E1"/>
    <w:multiLevelType w:val="hybridMultilevel"/>
    <w:tmpl w:val="B23A0A3E"/>
    <w:lvl w:ilvl="0" w:tplc="26480A30">
      <w:start w:val="1"/>
      <w:numFmt w:val="bullet"/>
      <w:lvlText w:val=""/>
      <w:lvlJc w:val="left"/>
      <w:pPr>
        <w:ind w:left="56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611"/>
    <w:rsid w:val="000832E2"/>
    <w:rsid w:val="0035514D"/>
    <w:rsid w:val="003D6086"/>
    <w:rsid w:val="004E2467"/>
    <w:rsid w:val="00520AB8"/>
    <w:rsid w:val="007C281A"/>
    <w:rsid w:val="009004A9"/>
    <w:rsid w:val="009241C5"/>
    <w:rsid w:val="00CA4935"/>
    <w:rsid w:val="00D017B0"/>
    <w:rsid w:val="00D04A0E"/>
    <w:rsid w:val="00DF4611"/>
    <w:rsid w:val="00F73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chartTrackingRefBased/>
  <w15:docId w15:val="{31242B2E-3408-47F4-9A3B-345A5F213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q1,рамка"/>
    <w:basedOn w:val="a0"/>
    <w:next w:val="a0"/>
    <w:link w:val="10"/>
    <w:autoRedefine/>
    <w:qFormat/>
    <w:rsid w:val="009241C5"/>
    <w:pPr>
      <w:keepNext/>
      <w:spacing w:after="0" w:line="240" w:lineRule="auto"/>
      <w:ind w:firstLine="709"/>
      <w:jc w:val="center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aliases w:val="q2"/>
    <w:basedOn w:val="a0"/>
    <w:next w:val="a0"/>
    <w:link w:val="20"/>
    <w:autoRedefine/>
    <w:qFormat/>
    <w:rsid w:val="0035514D"/>
    <w:pPr>
      <w:keepNext/>
      <w:numPr>
        <w:ilvl w:val="1"/>
        <w:numId w:val="1"/>
      </w:numPr>
      <w:tabs>
        <w:tab w:val="left" w:pos="283"/>
        <w:tab w:val="left" w:pos="1134"/>
        <w:tab w:val="left" w:pos="5244"/>
        <w:tab w:val="left" w:pos="12828"/>
      </w:tabs>
      <w:suppressAutoHyphens/>
      <w:autoSpaceDE w:val="0"/>
      <w:spacing w:after="0" w:line="240" w:lineRule="atLeast"/>
      <w:ind w:right="23"/>
      <w:jc w:val="center"/>
      <w:outlineLvl w:val="1"/>
    </w:pPr>
    <w:rPr>
      <w:rFonts w:ascii="Times New Roman" w:eastAsia="GOST Type AU" w:hAnsi="Times New Roman" w:cs="Courier New"/>
      <w:b/>
      <w:sz w:val="24"/>
      <w:szCs w:val="24"/>
      <w:lang w:eastAsia="ar-SA"/>
    </w:rPr>
  </w:style>
  <w:style w:type="paragraph" w:styleId="3">
    <w:name w:val="heading 3"/>
    <w:basedOn w:val="a0"/>
    <w:next w:val="a0"/>
    <w:link w:val="30"/>
    <w:autoRedefine/>
    <w:qFormat/>
    <w:rsid w:val="004E2467"/>
    <w:pPr>
      <w:keepNext/>
      <w:numPr>
        <w:ilvl w:val="2"/>
        <w:numId w:val="1"/>
      </w:numPr>
      <w:tabs>
        <w:tab w:val="left" w:pos="283"/>
        <w:tab w:val="left" w:pos="1134"/>
        <w:tab w:val="left" w:pos="5244"/>
        <w:tab w:val="left" w:pos="12828"/>
      </w:tabs>
      <w:suppressAutoHyphens/>
      <w:autoSpaceDE w:val="0"/>
      <w:spacing w:before="240" w:after="120" w:line="240" w:lineRule="atLeast"/>
      <w:ind w:right="23"/>
      <w:jc w:val="center"/>
      <w:outlineLvl w:val="2"/>
    </w:pPr>
    <w:rPr>
      <w:rFonts w:ascii="Times New Roman" w:eastAsia="GOST Type AU" w:hAnsi="Times New Roman" w:cs="Times New Roman"/>
      <w:b/>
      <w:sz w:val="24"/>
      <w:szCs w:val="2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Default">
    <w:name w:val="Default"/>
    <w:rsid w:val="00DF461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aliases w:val="q1 Знак,рамка Знак"/>
    <w:basedOn w:val="a1"/>
    <w:link w:val="1"/>
    <w:rsid w:val="009241C5"/>
    <w:rPr>
      <w:rFonts w:ascii="Times New Roman" w:eastAsia="Times New Roman" w:hAnsi="Times New Roman" w:cs="Times New Roman"/>
      <w:b/>
      <w:bCs/>
      <w:kern w:val="32"/>
      <w:sz w:val="24"/>
      <w:szCs w:val="32"/>
      <w:lang w:eastAsia="ru-RU"/>
    </w:rPr>
  </w:style>
  <w:style w:type="character" w:customStyle="1" w:styleId="20">
    <w:name w:val="Заголовок 2 Знак"/>
    <w:aliases w:val="q2 Знак"/>
    <w:basedOn w:val="a1"/>
    <w:link w:val="2"/>
    <w:rsid w:val="0035514D"/>
    <w:rPr>
      <w:rFonts w:ascii="Times New Roman" w:eastAsia="GOST Type AU" w:hAnsi="Times New Roman" w:cs="Courier New"/>
      <w:b/>
      <w:sz w:val="24"/>
      <w:szCs w:val="24"/>
      <w:lang w:eastAsia="ar-SA"/>
    </w:rPr>
  </w:style>
  <w:style w:type="character" w:customStyle="1" w:styleId="30">
    <w:name w:val="Заголовок 3 Знак"/>
    <w:basedOn w:val="a1"/>
    <w:link w:val="3"/>
    <w:rsid w:val="004E2467"/>
    <w:rPr>
      <w:rFonts w:ascii="Times New Roman" w:eastAsia="GOST Type AU" w:hAnsi="Times New Roman" w:cs="Times New Roman"/>
      <w:b/>
      <w:sz w:val="24"/>
      <w:szCs w:val="28"/>
      <w:lang w:eastAsia="ar-SA"/>
    </w:rPr>
  </w:style>
  <w:style w:type="paragraph" w:styleId="a">
    <w:name w:val="List Paragraph"/>
    <w:basedOn w:val="a0"/>
    <w:link w:val="a4"/>
    <w:autoRedefine/>
    <w:uiPriority w:val="99"/>
    <w:qFormat/>
    <w:rsid w:val="004E2467"/>
    <w:pPr>
      <w:numPr>
        <w:numId w:val="2"/>
      </w:numPr>
      <w:suppressAutoHyphens/>
      <w:spacing w:after="0" w:line="240" w:lineRule="auto"/>
      <w:jc w:val="both"/>
    </w:pPr>
    <w:rPr>
      <w:rFonts w:ascii="Times New Roman" w:eastAsia="Arial,Italic" w:hAnsi="Times New Roman" w:cs="Times New Roman"/>
      <w:sz w:val="24"/>
      <w:szCs w:val="24"/>
      <w:lang w:eastAsia="ar-SA"/>
    </w:rPr>
  </w:style>
  <w:style w:type="character" w:styleId="a5">
    <w:name w:val="page number"/>
    <w:basedOn w:val="a1"/>
    <w:rsid w:val="004E2467"/>
  </w:style>
  <w:style w:type="paragraph" w:styleId="a6">
    <w:name w:val="header"/>
    <w:basedOn w:val="a0"/>
    <w:link w:val="a7"/>
    <w:uiPriority w:val="99"/>
    <w:rsid w:val="004E2467"/>
    <w:pPr>
      <w:tabs>
        <w:tab w:val="center" w:pos="4153"/>
        <w:tab w:val="right" w:pos="8306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7">
    <w:name w:val="Верхний колонтитул Знак"/>
    <w:basedOn w:val="a1"/>
    <w:link w:val="a6"/>
    <w:uiPriority w:val="99"/>
    <w:rsid w:val="004E2467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8">
    <w:name w:val="footer"/>
    <w:basedOn w:val="a0"/>
    <w:link w:val="a9"/>
    <w:uiPriority w:val="99"/>
    <w:rsid w:val="004E2467"/>
    <w:pPr>
      <w:tabs>
        <w:tab w:val="center" w:pos="4153"/>
        <w:tab w:val="right" w:pos="8306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9">
    <w:name w:val="Нижний колонтитул Знак"/>
    <w:basedOn w:val="a1"/>
    <w:link w:val="a8"/>
    <w:uiPriority w:val="99"/>
    <w:rsid w:val="004E2467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a">
    <w:name w:val="Table Grid"/>
    <w:basedOn w:val="a2"/>
    <w:uiPriority w:val="59"/>
    <w:rsid w:val="004E2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OC Heading"/>
    <w:basedOn w:val="1"/>
    <w:next w:val="a0"/>
    <w:uiPriority w:val="39"/>
    <w:unhideWhenUsed/>
    <w:qFormat/>
    <w:rsid w:val="004E2467"/>
    <w:pPr>
      <w:keepLines/>
      <w:outlineLvl w:val="9"/>
    </w:pPr>
    <w:rPr>
      <w:bCs w:val="0"/>
      <w:kern w:val="0"/>
    </w:rPr>
  </w:style>
  <w:style w:type="paragraph" w:customStyle="1" w:styleId="ac">
    <w:name w:val="ГП_Обычный"/>
    <w:link w:val="ad"/>
    <w:qFormat/>
    <w:rsid w:val="004E2467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ГП_Обычный Знак"/>
    <w:link w:val="ac"/>
    <w:rsid w:val="004E246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1"/>
    <w:rsid w:val="004E2467"/>
  </w:style>
  <w:style w:type="character" w:customStyle="1" w:styleId="a4">
    <w:name w:val="Абзац списка Знак"/>
    <w:link w:val="a"/>
    <w:uiPriority w:val="99"/>
    <w:locked/>
    <w:rsid w:val="004E2467"/>
    <w:rPr>
      <w:rFonts w:ascii="Times New Roman" w:eastAsia="Arial,Italic" w:hAnsi="Times New Roman" w:cs="Times New Roman"/>
      <w:sz w:val="24"/>
      <w:szCs w:val="24"/>
      <w:lang w:eastAsia="ar-SA"/>
    </w:rPr>
  </w:style>
  <w:style w:type="paragraph" w:customStyle="1" w:styleId="TableParagraph">
    <w:name w:val="Table Paragraph"/>
    <w:basedOn w:val="a0"/>
    <w:uiPriority w:val="1"/>
    <w:qFormat/>
    <w:rsid w:val="004E246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530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17</Pages>
  <Words>5941</Words>
  <Characters>33867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Jeka</dc:creator>
  <cp:keywords/>
  <dc:description/>
  <cp:lastModifiedBy>Светлана Неустроева</cp:lastModifiedBy>
  <cp:revision>4</cp:revision>
  <dcterms:created xsi:type="dcterms:W3CDTF">2021-03-25T17:56:00Z</dcterms:created>
  <dcterms:modified xsi:type="dcterms:W3CDTF">2021-04-21T05:25:00Z</dcterms:modified>
</cp:coreProperties>
</file>